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434"/>
        <w:gridCol w:w="7340"/>
      </w:tblGrid>
      <w:tr w:rsidR="00FA08A0" w:rsidRPr="00FA08A0" w14:paraId="7854D7D3" w14:textId="77777777" w:rsidTr="001C2486">
        <w:trPr>
          <w:trHeight w:val="97"/>
        </w:trPr>
        <w:tc>
          <w:tcPr>
            <w:tcW w:w="3434" w:type="dxa"/>
            <w:tcBorders>
              <w:top w:val="single" w:sz="4" w:space="0" w:color="auto"/>
              <w:bottom w:val="single" w:sz="4" w:space="0" w:color="auto"/>
              <w:right w:val="single" w:sz="4" w:space="0" w:color="auto"/>
            </w:tcBorders>
            <w:shd w:val="clear" w:color="auto" w:fill="C00000"/>
            <w:vAlign w:val="center"/>
          </w:tcPr>
          <w:p w14:paraId="3D04AD78" w14:textId="790C182C" w:rsidR="00EA04C3" w:rsidRPr="003F097C" w:rsidRDefault="00EA04C3" w:rsidP="00BA5758">
            <w:pPr>
              <w:pStyle w:val="Ttulo2"/>
              <w:spacing w:line="276" w:lineRule="auto"/>
              <w:ind w:left="708" w:right="191" w:hanging="708"/>
              <w:jc w:val="both"/>
              <w:rPr>
                <w:sz w:val="24"/>
                <w:szCs w:val="24"/>
              </w:rPr>
            </w:pPr>
            <w:r w:rsidRPr="003F097C">
              <w:rPr>
                <w:sz w:val="24"/>
                <w:szCs w:val="24"/>
              </w:rPr>
              <w:t>Entidad originadora:</w:t>
            </w:r>
          </w:p>
        </w:tc>
        <w:tc>
          <w:tcPr>
            <w:tcW w:w="7340" w:type="dxa"/>
            <w:tcBorders>
              <w:top w:val="single" w:sz="4" w:space="0" w:color="auto"/>
              <w:left w:val="single" w:sz="4" w:space="0" w:color="auto"/>
              <w:bottom w:val="single" w:sz="4" w:space="0" w:color="auto"/>
            </w:tcBorders>
            <w:shd w:val="clear" w:color="auto" w:fill="FFFFFF" w:themeFill="background1"/>
            <w:vAlign w:val="center"/>
          </w:tcPr>
          <w:p w14:paraId="6A05A809" w14:textId="514A5841" w:rsidR="00EA04C3" w:rsidRPr="003F097C" w:rsidRDefault="00EA04C3" w:rsidP="00BA5758">
            <w:pPr>
              <w:spacing w:line="276" w:lineRule="auto"/>
              <w:ind w:right="191"/>
              <w:jc w:val="both"/>
              <w:rPr>
                <w:rFonts w:cs="Arial"/>
                <w:b/>
                <w:sz w:val="24"/>
                <w:szCs w:val="24"/>
              </w:rPr>
            </w:pPr>
            <w:r w:rsidRPr="003F097C">
              <w:rPr>
                <w:rFonts w:cs="Arial"/>
                <w:b/>
                <w:sz w:val="24"/>
                <w:szCs w:val="24"/>
              </w:rPr>
              <w:t>Superintendencia de Notariado y Registro</w:t>
            </w:r>
          </w:p>
        </w:tc>
      </w:tr>
      <w:tr w:rsidR="00FA08A0" w:rsidRPr="00FA08A0" w14:paraId="09F37473" w14:textId="77777777" w:rsidTr="001C2486">
        <w:trPr>
          <w:trHeight w:val="97"/>
        </w:trPr>
        <w:tc>
          <w:tcPr>
            <w:tcW w:w="3434" w:type="dxa"/>
            <w:tcBorders>
              <w:top w:val="single" w:sz="4" w:space="0" w:color="auto"/>
              <w:bottom w:val="single" w:sz="4" w:space="0" w:color="auto"/>
              <w:right w:val="single" w:sz="4" w:space="0" w:color="auto"/>
            </w:tcBorders>
            <w:shd w:val="clear" w:color="auto" w:fill="C00000"/>
            <w:vAlign w:val="center"/>
          </w:tcPr>
          <w:p w14:paraId="3756C8B8" w14:textId="000940BE" w:rsidR="00EA04C3" w:rsidRPr="003F097C" w:rsidRDefault="00EA04C3" w:rsidP="00BA5758">
            <w:pPr>
              <w:pStyle w:val="Ttulo2"/>
              <w:spacing w:line="276" w:lineRule="auto"/>
              <w:ind w:right="191"/>
              <w:jc w:val="both"/>
              <w:rPr>
                <w:rFonts w:cs="Arial"/>
                <w:sz w:val="24"/>
                <w:szCs w:val="24"/>
                <w:lang w:val="es-CO"/>
              </w:rPr>
            </w:pPr>
            <w:r w:rsidRPr="003F097C">
              <w:rPr>
                <w:rFonts w:cs="Arial"/>
                <w:sz w:val="24"/>
                <w:szCs w:val="24"/>
                <w:lang w:val="es-CO"/>
              </w:rPr>
              <w:t>Fecha (dd/mm/aa):</w:t>
            </w:r>
          </w:p>
        </w:tc>
        <w:tc>
          <w:tcPr>
            <w:tcW w:w="7340" w:type="dxa"/>
            <w:tcBorders>
              <w:top w:val="single" w:sz="4" w:space="0" w:color="auto"/>
              <w:left w:val="single" w:sz="4" w:space="0" w:color="auto"/>
              <w:bottom w:val="single" w:sz="4" w:space="0" w:color="auto"/>
            </w:tcBorders>
            <w:shd w:val="clear" w:color="auto" w:fill="FFFFFF" w:themeFill="background1"/>
            <w:vAlign w:val="center"/>
          </w:tcPr>
          <w:p w14:paraId="41C8F396" w14:textId="512DC026" w:rsidR="00EA04C3" w:rsidRPr="003F097C" w:rsidRDefault="00004F4D" w:rsidP="00BA5758">
            <w:pPr>
              <w:spacing w:line="276" w:lineRule="auto"/>
              <w:ind w:right="191"/>
              <w:jc w:val="both"/>
              <w:rPr>
                <w:rFonts w:cs="Arial"/>
                <w:bCs/>
                <w:sz w:val="24"/>
                <w:szCs w:val="24"/>
              </w:rPr>
            </w:pPr>
            <w:r>
              <w:rPr>
                <w:rFonts w:cs="Arial"/>
                <w:bCs/>
                <w:sz w:val="24"/>
                <w:szCs w:val="24"/>
              </w:rPr>
              <w:t>26</w:t>
            </w:r>
            <w:r w:rsidR="00EA04C3" w:rsidRPr="003F097C">
              <w:rPr>
                <w:rFonts w:cs="Arial"/>
                <w:bCs/>
                <w:sz w:val="24"/>
                <w:szCs w:val="24"/>
              </w:rPr>
              <w:t>/0</w:t>
            </w:r>
            <w:r>
              <w:rPr>
                <w:rFonts w:cs="Arial"/>
                <w:bCs/>
                <w:sz w:val="24"/>
                <w:szCs w:val="24"/>
              </w:rPr>
              <w:t>3</w:t>
            </w:r>
            <w:r w:rsidR="00EA04C3" w:rsidRPr="003F097C">
              <w:rPr>
                <w:rFonts w:cs="Arial"/>
                <w:bCs/>
                <w:sz w:val="24"/>
                <w:szCs w:val="24"/>
              </w:rPr>
              <w:t>/202</w:t>
            </w:r>
            <w:r>
              <w:rPr>
                <w:rFonts w:cs="Arial"/>
                <w:bCs/>
                <w:sz w:val="24"/>
                <w:szCs w:val="24"/>
              </w:rPr>
              <w:t>6</w:t>
            </w:r>
          </w:p>
        </w:tc>
      </w:tr>
      <w:tr w:rsidR="00FA08A0" w:rsidRPr="00FA08A0" w14:paraId="62113A76" w14:textId="77777777" w:rsidTr="001C2486">
        <w:trPr>
          <w:trHeight w:val="97"/>
        </w:trPr>
        <w:tc>
          <w:tcPr>
            <w:tcW w:w="3434" w:type="dxa"/>
            <w:tcBorders>
              <w:top w:val="single" w:sz="4" w:space="0" w:color="auto"/>
              <w:bottom w:val="single" w:sz="4" w:space="0" w:color="auto"/>
              <w:right w:val="single" w:sz="4" w:space="0" w:color="auto"/>
            </w:tcBorders>
            <w:shd w:val="clear" w:color="auto" w:fill="C00000"/>
            <w:vAlign w:val="center"/>
          </w:tcPr>
          <w:p w14:paraId="70453613" w14:textId="0DF57B69" w:rsidR="00EA04C3" w:rsidRPr="003F097C" w:rsidRDefault="00EA04C3" w:rsidP="00BA5758">
            <w:pPr>
              <w:pStyle w:val="Ttulo2"/>
              <w:spacing w:line="276" w:lineRule="auto"/>
              <w:ind w:right="191"/>
              <w:jc w:val="both"/>
              <w:rPr>
                <w:rFonts w:cs="Arial"/>
                <w:sz w:val="24"/>
                <w:szCs w:val="24"/>
                <w:lang w:val="es-CO"/>
              </w:rPr>
            </w:pPr>
            <w:r w:rsidRPr="003F097C">
              <w:rPr>
                <w:rFonts w:cs="Arial"/>
                <w:sz w:val="24"/>
                <w:szCs w:val="24"/>
                <w:lang w:val="es-CO"/>
              </w:rPr>
              <w:t xml:space="preserve">Proyecto de </w:t>
            </w:r>
            <w:r w:rsidR="003F097C">
              <w:rPr>
                <w:rFonts w:cs="Arial"/>
                <w:sz w:val="24"/>
                <w:szCs w:val="24"/>
                <w:lang w:val="es-CO"/>
              </w:rPr>
              <w:t>Ley</w:t>
            </w:r>
            <w:r w:rsidRPr="003F097C">
              <w:rPr>
                <w:rFonts w:cs="Arial"/>
                <w:sz w:val="24"/>
                <w:szCs w:val="24"/>
                <w:lang w:val="es-CO"/>
              </w:rPr>
              <w:t>:</w:t>
            </w:r>
          </w:p>
        </w:tc>
        <w:tc>
          <w:tcPr>
            <w:tcW w:w="7340" w:type="dxa"/>
            <w:tcBorders>
              <w:top w:val="single" w:sz="4" w:space="0" w:color="auto"/>
              <w:left w:val="single" w:sz="4" w:space="0" w:color="auto"/>
              <w:bottom w:val="single" w:sz="4" w:space="0" w:color="auto"/>
            </w:tcBorders>
            <w:shd w:val="clear" w:color="auto" w:fill="FFFFFF" w:themeFill="background1"/>
            <w:vAlign w:val="center"/>
          </w:tcPr>
          <w:p w14:paraId="72A3D3EC" w14:textId="75A833DE" w:rsidR="00EA04C3" w:rsidRPr="003F097C" w:rsidRDefault="009730EE" w:rsidP="00BA5758">
            <w:pPr>
              <w:pBdr>
                <w:top w:val="nil"/>
                <w:left w:val="nil"/>
                <w:bottom w:val="nil"/>
                <w:right w:val="nil"/>
                <w:between w:val="nil"/>
              </w:pBdr>
              <w:shd w:val="clear" w:color="auto" w:fill="FFFFFF"/>
              <w:spacing w:after="142"/>
              <w:jc w:val="both"/>
              <w:rPr>
                <w:rFonts w:eastAsia="Arial" w:cs="Arial"/>
                <w:color w:val="000000"/>
                <w:sz w:val="24"/>
                <w:szCs w:val="24"/>
              </w:rPr>
            </w:pPr>
            <w:bookmarkStart w:id="0" w:name="_GoBack"/>
            <w:r w:rsidRPr="003F097C">
              <w:rPr>
                <w:rFonts w:eastAsia="Arial" w:cs="Arial"/>
                <w:color w:val="000000"/>
                <w:sz w:val="24"/>
                <w:szCs w:val="24"/>
              </w:rPr>
              <w:t>Por la cual se fija la tasa especial de vigilancia que deben pagar a la Superintendencia de Notariado y Registro los curadores urbanos del país, sometidos a la inspección, vigilancia y control.</w:t>
            </w:r>
            <w:bookmarkEnd w:id="0"/>
          </w:p>
        </w:tc>
      </w:tr>
      <w:tr w:rsidR="00FA08A0" w:rsidRPr="009730EE" w14:paraId="1299C43A" w14:textId="77777777" w:rsidTr="1ED977BF">
        <w:trPr>
          <w:trHeight w:val="70"/>
        </w:trPr>
        <w:tc>
          <w:tcPr>
            <w:tcW w:w="10774" w:type="dxa"/>
            <w:gridSpan w:val="2"/>
            <w:shd w:val="clear" w:color="auto" w:fill="FFFFFF" w:themeFill="background1"/>
            <w:vAlign w:val="center"/>
          </w:tcPr>
          <w:p w14:paraId="5E847999" w14:textId="44FB072B" w:rsidR="00F30A2D" w:rsidRPr="009730EE" w:rsidRDefault="00F30A2D" w:rsidP="00BA5758">
            <w:pPr>
              <w:pStyle w:val="Prrafodelista"/>
              <w:spacing w:line="20" w:lineRule="atLeast"/>
              <w:ind w:left="720" w:right="191"/>
              <w:jc w:val="both"/>
              <w:rPr>
                <w:rFonts w:cs="Arial"/>
                <w:sz w:val="24"/>
                <w:szCs w:val="24"/>
                <w:lang w:eastAsia="es-CO"/>
              </w:rPr>
            </w:pPr>
          </w:p>
          <w:p w14:paraId="5AA4ECF9" w14:textId="77777777" w:rsidR="00001F8D" w:rsidRPr="00001F8D" w:rsidRDefault="00001F8D" w:rsidP="00BA5758">
            <w:pPr>
              <w:jc w:val="both"/>
              <w:rPr>
                <w:rFonts w:eastAsia="Arial" w:cs="Arial"/>
                <w:color w:val="000000"/>
                <w:sz w:val="24"/>
                <w:szCs w:val="24"/>
              </w:rPr>
            </w:pPr>
            <w:r w:rsidRPr="00001F8D">
              <w:rPr>
                <w:rFonts w:eastAsia="Arial" w:cs="Arial"/>
                <w:b/>
                <w:color w:val="000000"/>
                <w:sz w:val="24"/>
                <w:szCs w:val="24"/>
              </w:rPr>
              <w:t>EXPOSICIÓN DE MOTIVOS</w:t>
            </w:r>
          </w:p>
          <w:p w14:paraId="0423F18A" w14:textId="77777777" w:rsidR="00001F8D" w:rsidRPr="00001F8D" w:rsidRDefault="00001F8D" w:rsidP="00BA5758">
            <w:pPr>
              <w:jc w:val="both"/>
              <w:rPr>
                <w:rFonts w:eastAsia="Arial" w:cs="Arial"/>
                <w:sz w:val="24"/>
                <w:szCs w:val="24"/>
              </w:rPr>
            </w:pPr>
          </w:p>
          <w:p w14:paraId="71F5EFE1" w14:textId="77777777" w:rsidR="00001F8D" w:rsidRPr="00001F8D" w:rsidRDefault="00001F8D" w:rsidP="004E3E3E">
            <w:pPr>
              <w:pStyle w:val="Prrafodelista"/>
              <w:numPr>
                <w:ilvl w:val="0"/>
                <w:numId w:val="35"/>
              </w:numPr>
              <w:pBdr>
                <w:top w:val="nil"/>
                <w:left w:val="nil"/>
                <w:bottom w:val="nil"/>
                <w:right w:val="nil"/>
                <w:between w:val="nil"/>
              </w:pBdr>
              <w:shd w:val="clear" w:color="auto" w:fill="FFFFFF"/>
              <w:spacing w:after="142"/>
              <w:contextualSpacing/>
              <w:jc w:val="both"/>
              <w:rPr>
                <w:rFonts w:eastAsia="Arial" w:cs="Arial"/>
                <w:b/>
                <w:color w:val="212529"/>
                <w:sz w:val="24"/>
                <w:szCs w:val="24"/>
                <w:highlight w:val="white"/>
                <w:u w:val="single"/>
              </w:rPr>
            </w:pPr>
            <w:r w:rsidRPr="00001F8D">
              <w:rPr>
                <w:rFonts w:eastAsia="Arial" w:cs="Arial"/>
                <w:b/>
                <w:color w:val="212529"/>
                <w:sz w:val="24"/>
                <w:szCs w:val="24"/>
                <w:highlight w:val="white"/>
                <w:u w:val="single"/>
              </w:rPr>
              <w:t>OBJETO</w:t>
            </w:r>
          </w:p>
          <w:p w14:paraId="03008626" w14:textId="77777777" w:rsidR="00001F8D" w:rsidRPr="00001F8D" w:rsidRDefault="00001F8D" w:rsidP="00BA5758">
            <w:pPr>
              <w:pBdr>
                <w:top w:val="nil"/>
                <w:left w:val="nil"/>
                <w:bottom w:val="nil"/>
                <w:right w:val="nil"/>
                <w:between w:val="nil"/>
              </w:pBdr>
              <w:shd w:val="clear" w:color="auto" w:fill="FFFFFF"/>
              <w:spacing w:after="142"/>
              <w:jc w:val="both"/>
              <w:rPr>
                <w:rFonts w:eastAsia="Arial" w:cs="Arial"/>
                <w:color w:val="000000"/>
                <w:sz w:val="24"/>
                <w:szCs w:val="24"/>
              </w:rPr>
            </w:pPr>
            <w:r w:rsidRPr="00001F8D">
              <w:rPr>
                <w:rFonts w:eastAsia="Arial" w:cs="Arial"/>
                <w:sz w:val="24"/>
                <w:szCs w:val="24"/>
              </w:rPr>
              <w:t xml:space="preserve">La presente iniciativa legislativa tiene por objeto dar cumplimiento a la Sentencia de la </w:t>
            </w:r>
            <w:r w:rsidRPr="00001F8D">
              <w:rPr>
                <w:rFonts w:eastAsia="Arial" w:cs="Arial"/>
                <w:color w:val="000000"/>
                <w:sz w:val="24"/>
                <w:szCs w:val="24"/>
              </w:rPr>
              <w:t xml:space="preserve">Corte Constitucional C-568 de 2019 M.P. José Fernando Reyes Cuartas, en la cual resolvió declarar la inexequibilidad de los artículos 30 y 31 de la Ley 1796 de 2016, y diferir los efectos de esta declaratoria a fin de que el Congreso de la República apruebe el sistema y el método para reglamentar el porcentaje de las expensas, destinado a la sostenibilidad de la vigilancia a los curadores urbanos por parte de la Superintendencia de Notariado y Registro. </w:t>
            </w:r>
          </w:p>
          <w:p w14:paraId="46271993" w14:textId="629B15D3" w:rsidR="00001F8D" w:rsidRPr="00001F8D" w:rsidRDefault="00001F8D" w:rsidP="00BA5758">
            <w:pPr>
              <w:pBdr>
                <w:top w:val="nil"/>
                <w:left w:val="nil"/>
                <w:bottom w:val="nil"/>
                <w:right w:val="nil"/>
                <w:between w:val="nil"/>
              </w:pBdr>
              <w:shd w:val="clear" w:color="auto" w:fill="FFFFFF"/>
              <w:spacing w:after="142"/>
              <w:jc w:val="both"/>
              <w:rPr>
                <w:rFonts w:eastAsia="Arial" w:cs="Arial"/>
                <w:color w:val="000000"/>
                <w:sz w:val="24"/>
                <w:szCs w:val="24"/>
              </w:rPr>
            </w:pPr>
            <w:r w:rsidRPr="00001F8D">
              <w:rPr>
                <w:rFonts w:eastAsia="Arial" w:cs="Arial"/>
                <w:color w:val="000000"/>
                <w:sz w:val="24"/>
                <w:szCs w:val="24"/>
              </w:rPr>
              <w:t>En ese sentido, es necesario presentar esta iniciativa “</w:t>
            </w:r>
            <w:r w:rsidRPr="00001F8D">
              <w:rPr>
                <w:rFonts w:eastAsia="Arial" w:cs="Arial"/>
                <w:b/>
                <w:i/>
                <w:color w:val="000000"/>
                <w:sz w:val="24"/>
                <w:szCs w:val="24"/>
              </w:rPr>
              <w:t xml:space="preserve">Por la cual se fija la tasa especial de vigilancia que deben pagar a la Superintendencia de Notariado y Registro los curadores urbanos del país, sometidos a la inspección, vigilancia y </w:t>
            </w:r>
            <w:r w:rsidRPr="003F097C">
              <w:rPr>
                <w:rFonts w:eastAsia="Arial" w:cs="Arial"/>
                <w:b/>
                <w:i/>
                <w:color w:val="000000"/>
                <w:sz w:val="24"/>
                <w:szCs w:val="24"/>
              </w:rPr>
              <w:t>control</w:t>
            </w:r>
            <w:r w:rsidR="00417C42" w:rsidRPr="003F097C">
              <w:rPr>
                <w:rFonts w:eastAsia="Arial" w:cs="Arial"/>
                <w:b/>
                <w:i/>
                <w:color w:val="000000"/>
                <w:sz w:val="24"/>
                <w:szCs w:val="24"/>
              </w:rPr>
              <w:t xml:space="preserve"> y se dictan otras disposiciones</w:t>
            </w:r>
            <w:r w:rsidRPr="003F097C">
              <w:rPr>
                <w:rFonts w:eastAsia="Arial" w:cs="Arial"/>
                <w:b/>
                <w:i/>
                <w:color w:val="000000"/>
                <w:sz w:val="24"/>
                <w:szCs w:val="24"/>
              </w:rPr>
              <w:t>.”</w:t>
            </w:r>
            <w:r w:rsidRPr="00001F8D">
              <w:rPr>
                <w:rFonts w:eastAsia="Arial" w:cs="Arial"/>
                <w:b/>
                <w:i/>
                <w:color w:val="000000"/>
                <w:sz w:val="24"/>
                <w:szCs w:val="24"/>
              </w:rPr>
              <w:t xml:space="preserve"> </w:t>
            </w:r>
          </w:p>
          <w:p w14:paraId="650CF7F7" w14:textId="77777777" w:rsidR="00001F8D" w:rsidRPr="00001F8D" w:rsidRDefault="00001F8D" w:rsidP="00BA5758">
            <w:pPr>
              <w:jc w:val="both"/>
              <w:rPr>
                <w:rFonts w:eastAsia="Arial" w:cs="Arial"/>
                <w:color w:val="000000"/>
                <w:sz w:val="24"/>
                <w:szCs w:val="24"/>
              </w:rPr>
            </w:pPr>
          </w:p>
          <w:p w14:paraId="3D91AE39" w14:textId="77777777" w:rsidR="00001F8D" w:rsidRPr="00001F8D" w:rsidRDefault="00001F8D" w:rsidP="004E3E3E">
            <w:pPr>
              <w:pStyle w:val="Prrafodelista"/>
              <w:numPr>
                <w:ilvl w:val="0"/>
                <w:numId w:val="35"/>
              </w:numPr>
              <w:contextualSpacing/>
              <w:jc w:val="both"/>
              <w:rPr>
                <w:rFonts w:eastAsia="Arial" w:cs="Arial"/>
                <w:b/>
                <w:sz w:val="24"/>
                <w:szCs w:val="24"/>
                <w:u w:val="single"/>
              </w:rPr>
            </w:pPr>
            <w:r w:rsidRPr="00001F8D">
              <w:rPr>
                <w:rFonts w:eastAsia="Arial" w:cs="Arial"/>
                <w:b/>
                <w:sz w:val="24"/>
                <w:szCs w:val="24"/>
                <w:u w:val="single"/>
              </w:rPr>
              <w:t>JUSTIFICACIÓN DE LA INICIATIVA</w:t>
            </w:r>
          </w:p>
          <w:p w14:paraId="18D5A557" w14:textId="77777777" w:rsidR="00001F8D" w:rsidRPr="00001F8D" w:rsidRDefault="00001F8D" w:rsidP="00BA5758">
            <w:pPr>
              <w:jc w:val="both"/>
              <w:rPr>
                <w:rFonts w:eastAsia="Arial" w:cs="Arial"/>
                <w:b/>
                <w:sz w:val="24"/>
                <w:szCs w:val="24"/>
                <w:u w:val="single"/>
              </w:rPr>
            </w:pPr>
          </w:p>
          <w:p w14:paraId="5734ABE8" w14:textId="77777777" w:rsidR="00001F8D" w:rsidRPr="00001F8D" w:rsidRDefault="00001F8D" w:rsidP="00BA5758">
            <w:pPr>
              <w:jc w:val="both"/>
              <w:rPr>
                <w:rFonts w:eastAsia="Arial" w:cs="Arial"/>
                <w:color w:val="000000"/>
                <w:sz w:val="24"/>
                <w:szCs w:val="24"/>
              </w:rPr>
            </w:pPr>
            <w:r w:rsidRPr="00001F8D">
              <w:rPr>
                <w:rFonts w:eastAsia="Arial" w:cs="Arial"/>
                <w:color w:val="000000"/>
                <w:sz w:val="24"/>
                <w:szCs w:val="24"/>
              </w:rPr>
              <w:t>En el año 2016 se expidió la Ley 1796, “</w:t>
            </w:r>
            <w:r w:rsidRPr="00001F8D">
              <w:rPr>
                <w:rFonts w:eastAsia="Arial" w:cs="Arial"/>
                <w:i/>
                <w:color w:val="000000"/>
                <w:sz w:val="24"/>
                <w:szCs w:val="24"/>
              </w:rPr>
              <w:t>Por la cual se establecen medidas enfocadas a la protección del comprador de vivienda, el incremento de la seguridad de las edificaciones y el fortalecimiento de la Función Pública que ejercen los curadores urbanos, se asignan funciones a la Superintendencia de Notariado y Registro y se dictan otras disposiciones</w:t>
            </w:r>
            <w:r w:rsidRPr="00001F8D">
              <w:rPr>
                <w:rFonts w:eastAsia="Arial" w:cs="Arial"/>
                <w:color w:val="000000"/>
                <w:sz w:val="24"/>
                <w:szCs w:val="24"/>
              </w:rPr>
              <w:t xml:space="preserve">”, la cual en su artículo 30 y 31 dispuso que: </w:t>
            </w:r>
          </w:p>
          <w:p w14:paraId="1AB3D10E" w14:textId="77777777" w:rsidR="00001F8D" w:rsidRPr="00001F8D" w:rsidRDefault="00001F8D" w:rsidP="00BA5758">
            <w:pPr>
              <w:jc w:val="both"/>
              <w:rPr>
                <w:rFonts w:eastAsia="Arial" w:cs="Arial"/>
                <w:color w:val="000000"/>
                <w:sz w:val="24"/>
                <w:szCs w:val="24"/>
              </w:rPr>
            </w:pPr>
          </w:p>
          <w:p w14:paraId="7F67BD88" w14:textId="77777777" w:rsidR="00001F8D" w:rsidRPr="00001F8D" w:rsidRDefault="00001F8D" w:rsidP="00BA5758">
            <w:pPr>
              <w:ind w:left="426" w:right="474"/>
              <w:jc w:val="both"/>
              <w:rPr>
                <w:rFonts w:eastAsia="Arial" w:cs="Arial"/>
                <w:color w:val="000000"/>
                <w:sz w:val="24"/>
                <w:szCs w:val="24"/>
              </w:rPr>
            </w:pPr>
            <w:r w:rsidRPr="00001F8D">
              <w:rPr>
                <w:rFonts w:eastAsia="Arial" w:cs="Arial"/>
                <w:color w:val="000000"/>
                <w:sz w:val="24"/>
                <w:szCs w:val="24"/>
              </w:rPr>
              <w:t>“</w:t>
            </w:r>
            <w:r w:rsidRPr="00001F8D">
              <w:rPr>
                <w:rFonts w:eastAsia="Arial" w:cs="Arial"/>
                <w:b/>
                <w:color w:val="000000"/>
                <w:sz w:val="24"/>
                <w:szCs w:val="24"/>
              </w:rPr>
              <w:t>ARTÍCULO 30</w:t>
            </w:r>
            <w:r w:rsidRPr="00001F8D">
              <w:rPr>
                <w:rFonts w:eastAsia="Arial" w:cs="Arial"/>
                <w:color w:val="000000"/>
                <w:sz w:val="24"/>
                <w:szCs w:val="24"/>
              </w:rPr>
              <w:t>. Sostenibilidad de la vigilancia. Con el fin de garantizar la sostenibilidad de la vigilancia que ejercerá la Superintendencia de Notariado y Registro, sobre la función pública que prestan los curadores urbanos, el Ministerio de Vivienda, Ciudad y Territorio en el ejercicio de las facultades que le otorga la Ley 388 de 1997 modificada parcialmente por la Ley 810 de 2003 y el Decreto número 1469 de 2010 (compilado por el Decreto número 1077 de 2015), reglamentará el porcentaje de las expensas que se destinará para este fin.</w:t>
            </w:r>
          </w:p>
          <w:p w14:paraId="49DEF421" w14:textId="77777777" w:rsidR="00001F8D" w:rsidRPr="00001F8D" w:rsidRDefault="00001F8D" w:rsidP="00BA5758">
            <w:pPr>
              <w:ind w:left="426" w:right="474"/>
              <w:jc w:val="both"/>
              <w:rPr>
                <w:rFonts w:eastAsia="Arial" w:cs="Arial"/>
                <w:color w:val="000000"/>
                <w:sz w:val="24"/>
                <w:szCs w:val="24"/>
              </w:rPr>
            </w:pPr>
          </w:p>
          <w:p w14:paraId="09487B38" w14:textId="77777777" w:rsidR="00001F8D" w:rsidRPr="00001F8D" w:rsidRDefault="00001F8D" w:rsidP="00BA5758">
            <w:pPr>
              <w:ind w:left="426" w:right="474"/>
              <w:jc w:val="both"/>
              <w:rPr>
                <w:rFonts w:eastAsia="Arial" w:cs="Arial"/>
                <w:color w:val="000000"/>
                <w:sz w:val="24"/>
                <w:szCs w:val="24"/>
              </w:rPr>
            </w:pPr>
            <w:r w:rsidRPr="00001F8D">
              <w:rPr>
                <w:rFonts w:eastAsia="Arial" w:cs="Arial"/>
                <w:b/>
                <w:color w:val="000000"/>
                <w:sz w:val="24"/>
                <w:szCs w:val="24"/>
              </w:rPr>
              <w:t>ARTÍCULO 31</w:t>
            </w:r>
            <w:r w:rsidRPr="00001F8D">
              <w:rPr>
                <w:rFonts w:eastAsia="Arial" w:cs="Arial"/>
                <w:color w:val="000000"/>
                <w:sz w:val="24"/>
                <w:szCs w:val="24"/>
              </w:rPr>
              <w:t>. Fondo Cuenta de Curadores Urbanos. Créase un Fondo Cuenta sin personería jurídica, el cual se formará con el porcentaje de las expensas que se destine a la sostenibilidad de la vigilancia que ejercerá la Superintendencia de Notariado y Registro.</w:t>
            </w:r>
          </w:p>
          <w:p w14:paraId="3CABD608" w14:textId="77777777" w:rsidR="00001F8D" w:rsidRPr="00001F8D" w:rsidRDefault="00001F8D" w:rsidP="00BA5758">
            <w:pPr>
              <w:jc w:val="both"/>
              <w:rPr>
                <w:rFonts w:eastAsia="Arial" w:cs="Arial"/>
                <w:color w:val="000000"/>
                <w:sz w:val="24"/>
                <w:szCs w:val="24"/>
              </w:rPr>
            </w:pPr>
          </w:p>
          <w:p w14:paraId="273EBDB6" w14:textId="77777777" w:rsidR="00001F8D" w:rsidRPr="00001F8D" w:rsidRDefault="00001F8D" w:rsidP="00BA5758">
            <w:pPr>
              <w:ind w:left="426"/>
              <w:jc w:val="both"/>
              <w:rPr>
                <w:rFonts w:eastAsia="Arial" w:cs="Arial"/>
                <w:color w:val="000000"/>
                <w:sz w:val="24"/>
                <w:szCs w:val="24"/>
              </w:rPr>
            </w:pPr>
            <w:r w:rsidRPr="00001F8D">
              <w:rPr>
                <w:rFonts w:eastAsia="Arial" w:cs="Arial"/>
                <w:color w:val="000000"/>
                <w:sz w:val="24"/>
                <w:szCs w:val="24"/>
              </w:rPr>
              <w:t>El Superintendente de Notariado y Registro será el representante legal del Fondo y el ordenador del gasto.”</w:t>
            </w:r>
          </w:p>
          <w:p w14:paraId="2D00A990" w14:textId="77777777" w:rsidR="00001F8D" w:rsidRPr="00001F8D" w:rsidRDefault="00001F8D" w:rsidP="00BA5758">
            <w:pPr>
              <w:jc w:val="both"/>
              <w:rPr>
                <w:rFonts w:eastAsia="Arial" w:cs="Arial"/>
                <w:color w:val="000000"/>
                <w:sz w:val="24"/>
                <w:szCs w:val="24"/>
              </w:rPr>
            </w:pPr>
          </w:p>
          <w:p w14:paraId="0D75C6DE" w14:textId="77777777" w:rsidR="00001F8D" w:rsidRPr="00001F8D" w:rsidRDefault="00001F8D" w:rsidP="00BA5758">
            <w:pPr>
              <w:jc w:val="both"/>
              <w:rPr>
                <w:rFonts w:eastAsia="Arial" w:cs="Arial"/>
                <w:color w:val="000000"/>
                <w:sz w:val="24"/>
                <w:szCs w:val="24"/>
              </w:rPr>
            </w:pPr>
            <w:r w:rsidRPr="00001F8D">
              <w:rPr>
                <w:rFonts w:eastAsia="Arial" w:cs="Arial"/>
                <w:color w:val="000000"/>
                <w:sz w:val="24"/>
                <w:szCs w:val="24"/>
              </w:rPr>
              <w:lastRenderedPageBreak/>
              <w:t>De acuerdo con lo anterior el Ministerio de Vivienda, Ciudad y Territorio expidió la Resolución No. 0064 del 24 de enero de 2018 “</w:t>
            </w:r>
            <w:r w:rsidRPr="00001F8D">
              <w:rPr>
                <w:rFonts w:eastAsia="Arial" w:cs="Arial"/>
                <w:i/>
                <w:color w:val="000000"/>
                <w:sz w:val="24"/>
                <w:szCs w:val="24"/>
              </w:rPr>
              <w:t>Por la cual se reglamenta la Ley 1796 de 2016 en lo relacionado al porcentaje los ingresos derivados de la función de los curadores urbanos que se destinará a la sostenibilidad de la vigencia que ejercerá la Superintendencia de Notariado y Registro</w:t>
            </w:r>
            <w:r w:rsidRPr="00001F8D">
              <w:rPr>
                <w:rFonts w:eastAsia="Arial" w:cs="Arial"/>
                <w:color w:val="000000"/>
                <w:sz w:val="24"/>
                <w:szCs w:val="24"/>
              </w:rPr>
              <w:t>”, en la que se estipuló en su artículo 1 que el porcentaje sería del 5% del recaudo de las expensas.</w:t>
            </w:r>
          </w:p>
          <w:p w14:paraId="7A5AE60C" w14:textId="77777777" w:rsidR="00001F8D" w:rsidRPr="00001F8D" w:rsidRDefault="00001F8D" w:rsidP="00BA5758">
            <w:pPr>
              <w:jc w:val="both"/>
              <w:rPr>
                <w:rFonts w:eastAsia="Arial" w:cs="Arial"/>
                <w:color w:val="000000"/>
                <w:sz w:val="24"/>
                <w:szCs w:val="24"/>
              </w:rPr>
            </w:pPr>
          </w:p>
          <w:p w14:paraId="0C384B6E" w14:textId="77777777" w:rsidR="00001F8D" w:rsidRPr="00001F8D" w:rsidRDefault="00001F8D" w:rsidP="00BA5758">
            <w:pPr>
              <w:jc w:val="both"/>
              <w:rPr>
                <w:rFonts w:eastAsia="Arial" w:cs="Arial"/>
                <w:color w:val="000000"/>
                <w:sz w:val="24"/>
                <w:szCs w:val="24"/>
              </w:rPr>
            </w:pPr>
            <w:r w:rsidRPr="00001F8D">
              <w:rPr>
                <w:rFonts w:eastAsia="Arial" w:cs="Arial"/>
                <w:color w:val="000000"/>
                <w:sz w:val="24"/>
                <w:szCs w:val="24"/>
              </w:rPr>
              <w:t>Ahora bien, en el año 2019 mediante Sentencia C-568 la Corte Constitucional resolvió declarar inexequibles los artículos 30 y 31 de la referida Ley 1796, además, difirió los efectos de la declaratoria a fin de que el Congreso de la República apruebe el sistema y el método</w:t>
            </w:r>
            <w:r w:rsidRPr="00001F8D">
              <w:rPr>
                <w:rStyle w:val="Refdenotaalpie"/>
                <w:rFonts w:eastAsia="Arial" w:cs="Arial"/>
                <w:color w:val="000000"/>
                <w:sz w:val="24"/>
                <w:szCs w:val="24"/>
              </w:rPr>
              <w:footnoteReference w:id="2"/>
            </w:r>
            <w:r w:rsidRPr="00001F8D">
              <w:rPr>
                <w:rFonts w:eastAsia="Arial" w:cs="Arial"/>
                <w:color w:val="000000"/>
                <w:sz w:val="24"/>
                <w:szCs w:val="24"/>
              </w:rPr>
              <w:t xml:space="preserve"> para definir los costos y beneficios y en consecuencia se determine la tarifa aplicable a las expensas obtenidas por los curadores urbanos, cuyo resultado será el valor que se deberá destinar para financiar la función de inspección, vigilancia y control asignada a la Superintendencia de Notariado y Registro.</w:t>
            </w:r>
          </w:p>
          <w:p w14:paraId="66B2722E" w14:textId="77777777" w:rsidR="00001F8D" w:rsidRPr="00001F8D" w:rsidRDefault="00001F8D" w:rsidP="00BA5758">
            <w:pPr>
              <w:jc w:val="both"/>
              <w:rPr>
                <w:rFonts w:eastAsia="Arial" w:cs="Arial"/>
                <w:color w:val="000000"/>
                <w:sz w:val="24"/>
                <w:szCs w:val="24"/>
              </w:rPr>
            </w:pPr>
          </w:p>
          <w:p w14:paraId="66D349E4" w14:textId="77777777" w:rsidR="00001F8D" w:rsidRPr="00001F8D" w:rsidRDefault="00001F8D" w:rsidP="00BA5758">
            <w:pPr>
              <w:jc w:val="both"/>
              <w:rPr>
                <w:rFonts w:eastAsia="Arial" w:cs="Arial"/>
                <w:color w:val="000000"/>
                <w:sz w:val="24"/>
                <w:szCs w:val="24"/>
              </w:rPr>
            </w:pPr>
            <w:r w:rsidRPr="00001F8D">
              <w:rPr>
                <w:rFonts w:eastAsia="Arial" w:cs="Arial"/>
                <w:color w:val="000000"/>
                <w:sz w:val="24"/>
                <w:szCs w:val="24"/>
              </w:rPr>
              <w:t xml:space="preserve">Conforme a lo expuesto y teniendo en cuenta lo preceptuado en el artículo 338 de la Constitución Política, en la presente iniciativa </w:t>
            </w:r>
            <w:r w:rsidRPr="00001F8D">
              <w:rPr>
                <w:rFonts w:eastAsia="Arial" w:cs="Arial"/>
                <w:sz w:val="24"/>
                <w:szCs w:val="24"/>
              </w:rPr>
              <w:t>el articulado propuesto suple las falencias expresadas por la Corte Constitucional en su fallo</w:t>
            </w:r>
            <w:r w:rsidRPr="00001F8D">
              <w:rPr>
                <w:rFonts w:eastAsia="Arial" w:cs="Arial"/>
                <w:color w:val="000000"/>
                <w:sz w:val="24"/>
                <w:szCs w:val="24"/>
              </w:rPr>
              <w:t>, al determinar el sistema y el método de la tasa de vigilancia que cubrirá los gastos de funcionamiento de la SNR en el cumplimiento de las funciones de la inspección, vigilancia y control a los curadores urbanos.</w:t>
            </w:r>
          </w:p>
          <w:p w14:paraId="52C6A158" w14:textId="77777777" w:rsidR="00001F8D" w:rsidRPr="00001F8D" w:rsidRDefault="00001F8D" w:rsidP="00BA5758">
            <w:pPr>
              <w:jc w:val="both"/>
              <w:rPr>
                <w:rFonts w:eastAsia="Arial" w:cs="Arial"/>
                <w:color w:val="000000"/>
                <w:sz w:val="24"/>
                <w:szCs w:val="24"/>
              </w:rPr>
            </w:pPr>
          </w:p>
          <w:p w14:paraId="29288DED" w14:textId="77777777" w:rsidR="00001F8D" w:rsidRPr="00001F8D" w:rsidRDefault="00001F8D" w:rsidP="00BA5758">
            <w:pPr>
              <w:jc w:val="both"/>
              <w:rPr>
                <w:rFonts w:cs="Arial"/>
                <w:color w:val="000000"/>
                <w:sz w:val="24"/>
                <w:szCs w:val="24"/>
              </w:rPr>
            </w:pPr>
            <w:r w:rsidRPr="00001F8D">
              <w:rPr>
                <w:rFonts w:cs="Arial"/>
                <w:color w:val="000000"/>
                <w:sz w:val="24"/>
                <w:szCs w:val="24"/>
              </w:rPr>
              <w:t xml:space="preserve">Así mismo, se identifican los elementos constitutivos de la tasa de vigilancia, siendo los siguientes: </w:t>
            </w:r>
          </w:p>
          <w:p w14:paraId="13D99897" w14:textId="77777777" w:rsidR="00001F8D" w:rsidRPr="00001F8D" w:rsidRDefault="00001F8D" w:rsidP="00BA5758">
            <w:pPr>
              <w:jc w:val="both"/>
              <w:rPr>
                <w:rFonts w:eastAsia="Arial" w:cs="Arial"/>
                <w:color w:val="000000"/>
                <w:sz w:val="24"/>
                <w:szCs w:val="24"/>
              </w:rPr>
            </w:pPr>
          </w:p>
          <w:p w14:paraId="1DBF8404" w14:textId="77777777" w:rsidR="00001F8D" w:rsidRPr="00001F8D" w:rsidRDefault="00001F8D" w:rsidP="00BA5758">
            <w:pPr>
              <w:jc w:val="both"/>
              <w:rPr>
                <w:rFonts w:eastAsia="Arial" w:cs="Arial"/>
                <w:color w:val="0070C0"/>
                <w:sz w:val="24"/>
                <w:szCs w:val="24"/>
              </w:rPr>
            </w:pPr>
            <w:r w:rsidRPr="00001F8D">
              <w:rPr>
                <w:rFonts w:eastAsia="Arial" w:cs="Arial"/>
                <w:b/>
                <w:color w:val="000000"/>
                <w:sz w:val="24"/>
                <w:szCs w:val="24"/>
                <w:u w:val="single"/>
              </w:rPr>
              <w:t>Sujeto activo</w:t>
            </w:r>
            <w:r w:rsidRPr="00001F8D">
              <w:rPr>
                <w:rFonts w:eastAsia="Arial" w:cs="Arial"/>
                <w:b/>
                <w:color w:val="000000"/>
                <w:sz w:val="24"/>
                <w:szCs w:val="24"/>
              </w:rPr>
              <w:t xml:space="preserve">. </w:t>
            </w:r>
            <w:r w:rsidRPr="00001F8D">
              <w:rPr>
                <w:rFonts w:eastAsia="Arial" w:cs="Arial"/>
                <w:sz w:val="24"/>
                <w:szCs w:val="24"/>
              </w:rPr>
              <w:t>El sujeto activo de la tasa especial de vigilancia es la Superintendencia de Notariado y Registro.</w:t>
            </w:r>
            <w:r w:rsidRPr="00001F8D">
              <w:rPr>
                <w:rFonts w:eastAsia="Arial" w:cs="Arial"/>
                <w:color w:val="0070C0"/>
                <w:sz w:val="24"/>
                <w:szCs w:val="24"/>
              </w:rPr>
              <w:t xml:space="preserve"> </w:t>
            </w:r>
          </w:p>
          <w:p w14:paraId="573858E8" w14:textId="77777777" w:rsidR="00001F8D" w:rsidRPr="00001F8D" w:rsidRDefault="00001F8D" w:rsidP="00BA5758">
            <w:pPr>
              <w:jc w:val="both"/>
              <w:rPr>
                <w:rFonts w:eastAsia="Arial" w:cs="Arial"/>
                <w:color w:val="0070C0"/>
                <w:sz w:val="24"/>
                <w:szCs w:val="24"/>
              </w:rPr>
            </w:pPr>
          </w:p>
          <w:p w14:paraId="27B792C0" w14:textId="77777777" w:rsidR="00001F8D" w:rsidRPr="00001F8D" w:rsidRDefault="00001F8D" w:rsidP="00BA5758">
            <w:pPr>
              <w:pStyle w:val="Prrafodelista"/>
              <w:ind w:left="0"/>
              <w:jc w:val="both"/>
              <w:rPr>
                <w:rFonts w:eastAsia="Arial" w:cs="Arial"/>
                <w:color w:val="000000"/>
                <w:sz w:val="24"/>
                <w:szCs w:val="24"/>
              </w:rPr>
            </w:pPr>
            <w:r w:rsidRPr="00001F8D">
              <w:rPr>
                <w:rFonts w:eastAsia="Arial" w:cs="Arial"/>
                <w:b/>
                <w:color w:val="000000"/>
                <w:sz w:val="24"/>
                <w:szCs w:val="24"/>
                <w:u w:val="single"/>
              </w:rPr>
              <w:t>Sujeto pasivo.</w:t>
            </w:r>
            <w:r w:rsidRPr="00001F8D">
              <w:rPr>
                <w:rFonts w:eastAsia="Arial" w:cs="Arial"/>
                <w:b/>
                <w:color w:val="000000"/>
                <w:sz w:val="24"/>
                <w:szCs w:val="24"/>
              </w:rPr>
              <w:t xml:space="preserve"> </w:t>
            </w:r>
            <w:r w:rsidRPr="00001F8D">
              <w:rPr>
                <w:rFonts w:eastAsia="Arial" w:cs="Arial"/>
                <w:sz w:val="24"/>
                <w:szCs w:val="24"/>
              </w:rPr>
              <w:t>Son sujeto pasivo de la tasa especial de vigilancia que trata la presente ley, los Curadores Urbanos.</w:t>
            </w:r>
            <w:r w:rsidRPr="00001F8D">
              <w:rPr>
                <w:rFonts w:eastAsia="Arial" w:cs="Arial"/>
                <w:color w:val="000000"/>
                <w:sz w:val="24"/>
                <w:szCs w:val="24"/>
              </w:rPr>
              <w:t xml:space="preserve"> </w:t>
            </w:r>
          </w:p>
          <w:p w14:paraId="48859AC1" w14:textId="77777777" w:rsidR="00001F8D" w:rsidRPr="00001F8D" w:rsidRDefault="00001F8D" w:rsidP="00BA5758">
            <w:pPr>
              <w:pStyle w:val="Prrafodelista"/>
              <w:ind w:left="0"/>
              <w:jc w:val="both"/>
              <w:rPr>
                <w:rFonts w:eastAsia="Arial" w:cs="Arial"/>
                <w:b/>
                <w:bCs/>
                <w:color w:val="000000"/>
                <w:sz w:val="24"/>
                <w:szCs w:val="24"/>
              </w:rPr>
            </w:pPr>
          </w:p>
          <w:p w14:paraId="488EB122" w14:textId="4AD58867" w:rsidR="00001F8D" w:rsidRPr="00001F8D" w:rsidRDefault="00001F8D" w:rsidP="00BA5758">
            <w:pPr>
              <w:pStyle w:val="Prrafodelista"/>
              <w:ind w:left="0"/>
              <w:jc w:val="both"/>
              <w:rPr>
                <w:rFonts w:eastAsia="Arial" w:cs="Arial"/>
                <w:color w:val="000000"/>
                <w:sz w:val="24"/>
                <w:szCs w:val="24"/>
              </w:rPr>
            </w:pPr>
            <w:r w:rsidRPr="00001F8D">
              <w:rPr>
                <w:rFonts w:eastAsia="Arial" w:cs="Arial"/>
                <w:b/>
                <w:color w:val="000000"/>
                <w:sz w:val="24"/>
                <w:szCs w:val="24"/>
                <w:u w:val="single"/>
              </w:rPr>
              <w:t>Hecho generador.</w:t>
            </w:r>
            <w:r w:rsidRPr="00001F8D">
              <w:rPr>
                <w:rFonts w:eastAsia="Arial" w:cs="Arial"/>
                <w:color w:val="000000"/>
                <w:sz w:val="24"/>
                <w:szCs w:val="24"/>
              </w:rPr>
              <w:t xml:space="preserve"> Lo constituye el ejercicio de la función pública delegada en el curador urbano sobre la cual recae la función de inspección, vigilancia y control por parte de la Superintendencia de Notariado y Registro</w:t>
            </w:r>
            <w:r w:rsidR="00004F4D">
              <w:rPr>
                <w:rFonts w:eastAsia="Arial" w:cs="Arial"/>
                <w:color w:val="000000"/>
                <w:sz w:val="24"/>
                <w:szCs w:val="24"/>
              </w:rPr>
              <w:t xml:space="preserve">, </w:t>
            </w:r>
            <w:r w:rsidR="00004F4D" w:rsidRPr="00004F4D">
              <w:rPr>
                <w:rFonts w:eastAsia="Arial" w:cs="Arial"/>
                <w:color w:val="000000"/>
                <w:sz w:val="24"/>
                <w:szCs w:val="24"/>
              </w:rPr>
              <w:t>la cual consiste en la verificación del cumplimiento de las normas urbanísticas y de edificación vigentes, mediante el estudio, tr</w:t>
            </w:r>
            <w:r w:rsidR="00004F4D">
              <w:rPr>
                <w:rFonts w:eastAsia="Arial" w:cs="Arial"/>
                <w:color w:val="000000"/>
                <w:sz w:val="24"/>
                <w:szCs w:val="24"/>
              </w:rPr>
              <w:t>á</w:t>
            </w:r>
            <w:r w:rsidR="00004F4D" w:rsidRPr="00004F4D">
              <w:rPr>
                <w:rFonts w:eastAsia="Arial" w:cs="Arial"/>
                <w:color w:val="000000"/>
                <w:sz w:val="24"/>
                <w:szCs w:val="24"/>
              </w:rPr>
              <w:t>mite y aprobación de los asuntos de su competencia, sin perjuicio de que las normas que rigen sobre la materia las que la modifiquen, adicionen, aclaren o supriman, actividades sobre las cuales la Superintendencia de Notariado y Registro ejerce la función de Inspección, Vigilancia y Control</w:t>
            </w:r>
            <w:r w:rsidR="00004F4D">
              <w:rPr>
                <w:rFonts w:eastAsia="Arial" w:cs="Arial"/>
                <w:color w:val="000000"/>
                <w:sz w:val="24"/>
                <w:szCs w:val="24"/>
              </w:rPr>
              <w:t xml:space="preserve">. </w:t>
            </w:r>
          </w:p>
          <w:p w14:paraId="252E4915" w14:textId="77777777" w:rsidR="00001F8D" w:rsidRPr="00001F8D" w:rsidRDefault="00001F8D" w:rsidP="00BA5758">
            <w:pPr>
              <w:pStyle w:val="Prrafodelista"/>
              <w:ind w:left="0"/>
              <w:jc w:val="both"/>
              <w:rPr>
                <w:rFonts w:eastAsia="Arial" w:cs="Arial"/>
                <w:color w:val="000000"/>
                <w:sz w:val="24"/>
                <w:szCs w:val="24"/>
              </w:rPr>
            </w:pPr>
          </w:p>
          <w:p w14:paraId="7BB67B66" w14:textId="77777777" w:rsidR="00001F8D" w:rsidRPr="00001F8D" w:rsidRDefault="00001F8D" w:rsidP="00BA5758">
            <w:pPr>
              <w:pStyle w:val="Prrafodelista"/>
              <w:ind w:left="0"/>
              <w:jc w:val="both"/>
              <w:rPr>
                <w:rFonts w:eastAsia="Arial" w:cs="Arial"/>
                <w:color w:val="000000"/>
                <w:sz w:val="24"/>
                <w:szCs w:val="24"/>
              </w:rPr>
            </w:pPr>
            <w:r w:rsidRPr="00001F8D">
              <w:rPr>
                <w:rFonts w:eastAsia="Arial" w:cs="Arial"/>
                <w:b/>
                <w:color w:val="000000"/>
                <w:sz w:val="24"/>
                <w:szCs w:val="24"/>
                <w:u w:val="single"/>
              </w:rPr>
              <w:t>Base gravable.</w:t>
            </w:r>
            <w:r w:rsidRPr="00001F8D">
              <w:rPr>
                <w:rFonts w:eastAsia="Arial" w:cs="Arial"/>
                <w:color w:val="000000"/>
                <w:sz w:val="24"/>
                <w:szCs w:val="24"/>
              </w:rPr>
              <w:t xml:space="preserve"> Está constituida por la totalidad del recaudo por concepto de expensas que perciben los curadores urbanos antes de IVA con ocasión de la función pública delegada.</w:t>
            </w:r>
          </w:p>
          <w:p w14:paraId="22A8F0EB" w14:textId="77777777" w:rsidR="00001F8D" w:rsidRPr="00001F8D" w:rsidRDefault="00001F8D" w:rsidP="00BA5758">
            <w:pPr>
              <w:jc w:val="both"/>
              <w:rPr>
                <w:rFonts w:eastAsia="Arial" w:cs="Arial"/>
                <w:color w:val="000000"/>
                <w:sz w:val="24"/>
                <w:szCs w:val="24"/>
              </w:rPr>
            </w:pPr>
            <w:r w:rsidRPr="00001F8D">
              <w:rPr>
                <w:rFonts w:eastAsia="Arial" w:cs="Arial"/>
                <w:color w:val="000000"/>
                <w:sz w:val="24"/>
                <w:szCs w:val="24"/>
              </w:rPr>
              <w:t xml:space="preserve"> </w:t>
            </w:r>
          </w:p>
          <w:p w14:paraId="462F1A66" w14:textId="77777777" w:rsidR="00001F8D" w:rsidRPr="00001F8D" w:rsidRDefault="00001F8D" w:rsidP="00BA5758">
            <w:pPr>
              <w:pStyle w:val="Prrafodelista"/>
              <w:ind w:left="0"/>
              <w:jc w:val="both"/>
              <w:rPr>
                <w:rFonts w:eastAsia="Arial" w:cs="Arial"/>
                <w:bCs/>
                <w:color w:val="000000"/>
                <w:sz w:val="24"/>
                <w:szCs w:val="24"/>
              </w:rPr>
            </w:pPr>
            <w:r w:rsidRPr="00001F8D">
              <w:rPr>
                <w:rFonts w:eastAsia="Arial" w:cs="Arial"/>
                <w:bCs/>
                <w:color w:val="000000"/>
                <w:sz w:val="24"/>
                <w:szCs w:val="24"/>
              </w:rPr>
              <w:t xml:space="preserve">En cuanto al sistema y el método se tiene que entonces que: </w:t>
            </w:r>
          </w:p>
          <w:p w14:paraId="18148948" w14:textId="77777777" w:rsidR="00001F8D" w:rsidRPr="00001F8D" w:rsidRDefault="00001F8D" w:rsidP="00BA5758">
            <w:pPr>
              <w:pStyle w:val="Prrafodelista"/>
              <w:ind w:left="0"/>
              <w:jc w:val="both"/>
              <w:rPr>
                <w:rFonts w:eastAsia="Arial" w:cs="Arial"/>
                <w:b/>
                <w:color w:val="000000"/>
                <w:sz w:val="24"/>
                <w:szCs w:val="24"/>
                <w:u w:val="single"/>
              </w:rPr>
            </w:pPr>
          </w:p>
          <w:p w14:paraId="66E35AE8" w14:textId="77777777" w:rsidR="00001F8D" w:rsidRPr="00001F8D" w:rsidRDefault="00001F8D" w:rsidP="00BA5758">
            <w:pPr>
              <w:pStyle w:val="Prrafodelista"/>
              <w:ind w:left="0"/>
              <w:jc w:val="both"/>
              <w:rPr>
                <w:rFonts w:eastAsia="Arial" w:cs="Arial"/>
                <w:b/>
                <w:color w:val="000000"/>
                <w:sz w:val="24"/>
                <w:szCs w:val="24"/>
                <w:u w:val="single"/>
              </w:rPr>
            </w:pPr>
            <w:r w:rsidRPr="00001F8D">
              <w:rPr>
                <w:rFonts w:eastAsia="Arial" w:cs="Arial"/>
                <w:b/>
                <w:color w:val="000000"/>
                <w:sz w:val="24"/>
                <w:szCs w:val="24"/>
                <w:u w:val="single"/>
              </w:rPr>
              <w:t xml:space="preserve">Sistema: </w:t>
            </w:r>
          </w:p>
          <w:p w14:paraId="3B23689F" w14:textId="77777777" w:rsidR="00001F8D" w:rsidRPr="00001F8D" w:rsidRDefault="00001F8D" w:rsidP="00BA5758">
            <w:pPr>
              <w:jc w:val="both"/>
              <w:rPr>
                <w:rFonts w:eastAsia="Arial" w:cs="Arial"/>
                <w:color w:val="000000"/>
                <w:sz w:val="24"/>
                <w:szCs w:val="24"/>
              </w:rPr>
            </w:pPr>
          </w:p>
          <w:p w14:paraId="58717CA5" w14:textId="77777777" w:rsidR="00001F8D" w:rsidRPr="00001F8D" w:rsidRDefault="00001F8D" w:rsidP="00BA5758">
            <w:pPr>
              <w:spacing w:after="160" w:line="259" w:lineRule="auto"/>
              <w:contextualSpacing/>
              <w:jc w:val="both"/>
              <w:rPr>
                <w:rFonts w:eastAsia="Calibri" w:cs="Arial"/>
                <w:color w:val="000000"/>
                <w:sz w:val="24"/>
                <w:szCs w:val="24"/>
                <w:lang w:val="es-CO" w:eastAsia="en-US"/>
              </w:rPr>
            </w:pPr>
            <w:r w:rsidRPr="00001F8D">
              <w:rPr>
                <w:rFonts w:eastAsia="Calibri" w:cs="Arial"/>
                <w:color w:val="000000"/>
                <w:sz w:val="24"/>
                <w:szCs w:val="24"/>
                <w:lang w:val="es-CO" w:eastAsia="en-US"/>
              </w:rPr>
              <w:t xml:space="preserve">Entiéndase como </w:t>
            </w:r>
            <w:r w:rsidRPr="00001F8D">
              <w:rPr>
                <w:rFonts w:eastAsia="Calibri" w:cs="Arial"/>
                <w:b/>
                <w:bCs/>
                <w:i/>
                <w:iCs/>
                <w:color w:val="000000"/>
                <w:sz w:val="24"/>
                <w:szCs w:val="24"/>
                <w:u w:val="single"/>
                <w:lang w:val="es-CO" w:eastAsia="en-US"/>
              </w:rPr>
              <w:t>sistema</w:t>
            </w:r>
            <w:r w:rsidRPr="00001F8D">
              <w:rPr>
                <w:rFonts w:eastAsia="Calibri" w:cs="Arial"/>
                <w:b/>
                <w:bCs/>
                <w:color w:val="000000"/>
                <w:sz w:val="24"/>
                <w:szCs w:val="24"/>
                <w:u w:val="single"/>
                <w:lang w:val="es-CO" w:eastAsia="en-US"/>
              </w:rPr>
              <w:t>,</w:t>
            </w:r>
            <w:r w:rsidRPr="00001F8D">
              <w:rPr>
                <w:rFonts w:eastAsia="Calibri" w:cs="Arial"/>
                <w:color w:val="000000"/>
                <w:sz w:val="24"/>
                <w:szCs w:val="24"/>
                <w:lang w:val="es-CO" w:eastAsia="en-US"/>
              </w:rPr>
              <w:t xml:space="preserve"> la constitución de una totalidad de elementos, caracterizados por una determinada articulación dinámica entre sus partes</w:t>
            </w:r>
            <w:r w:rsidRPr="00001F8D">
              <w:rPr>
                <w:rFonts w:eastAsia="Calibri" w:cs="Arial"/>
                <w:color w:val="000000"/>
                <w:sz w:val="24"/>
                <w:szCs w:val="24"/>
                <w:vertAlign w:val="superscript"/>
                <w:lang w:val="es-CO" w:eastAsia="en-US"/>
              </w:rPr>
              <w:footnoteReference w:id="3"/>
            </w:r>
            <w:r w:rsidRPr="00001F8D">
              <w:rPr>
                <w:rFonts w:eastAsia="Calibri" w:cs="Arial"/>
                <w:color w:val="000000"/>
                <w:sz w:val="24"/>
                <w:szCs w:val="24"/>
                <w:lang w:val="es-CO" w:eastAsia="en-US"/>
              </w:rPr>
              <w:t>. Supone coherencia interna para relacionar entre sí los componentes de un conjunto, que en el ámbito tributario representan la combinación de reglas y directrices necesarias para determinar los costos y beneficios de una obra o servicio, así como la forma de hacer su distribución</w:t>
            </w:r>
            <w:r w:rsidRPr="00001F8D">
              <w:rPr>
                <w:rFonts w:eastAsia="Calibri" w:cs="Arial"/>
                <w:color w:val="000000"/>
                <w:sz w:val="24"/>
                <w:szCs w:val="24"/>
                <w:vertAlign w:val="superscript"/>
                <w:lang w:val="es-CO" w:eastAsia="en-US"/>
              </w:rPr>
              <w:footnoteReference w:id="4"/>
            </w:r>
            <w:r w:rsidRPr="00001F8D">
              <w:rPr>
                <w:rFonts w:eastAsia="Calibri" w:cs="Arial"/>
                <w:color w:val="000000"/>
                <w:sz w:val="24"/>
                <w:szCs w:val="24"/>
                <w:lang w:val="es-CO" w:eastAsia="en-US"/>
              </w:rPr>
              <w:t>.</w:t>
            </w:r>
          </w:p>
          <w:p w14:paraId="14C79A77" w14:textId="77777777" w:rsidR="00001F8D" w:rsidRPr="00001F8D" w:rsidRDefault="00001F8D" w:rsidP="00BA5758">
            <w:pPr>
              <w:jc w:val="both"/>
              <w:rPr>
                <w:rFonts w:eastAsia="Arial" w:cs="Arial"/>
                <w:color w:val="000000"/>
                <w:sz w:val="24"/>
                <w:szCs w:val="24"/>
              </w:rPr>
            </w:pPr>
          </w:p>
          <w:p w14:paraId="487D7683" w14:textId="69C1AC54" w:rsidR="00001F8D" w:rsidRDefault="00001F8D" w:rsidP="00BA5758">
            <w:pPr>
              <w:jc w:val="both"/>
              <w:rPr>
                <w:rFonts w:cs="Arial"/>
                <w:color w:val="000000"/>
                <w:sz w:val="24"/>
                <w:szCs w:val="24"/>
              </w:rPr>
            </w:pPr>
            <w:r w:rsidRPr="00001F8D">
              <w:rPr>
                <w:rFonts w:cs="Arial"/>
                <w:color w:val="000000"/>
                <w:sz w:val="24"/>
                <w:szCs w:val="24"/>
              </w:rPr>
              <w:t xml:space="preserve">Para el caso que nos ocupa, el sistema se genera en el marco de la Ley 1796 de 2016, la cual asignó a la Superintendencia de Notariado y Registro </w:t>
            </w:r>
            <w:r w:rsidR="004C79FA">
              <w:rPr>
                <w:rFonts w:cs="Arial"/>
                <w:color w:val="000000"/>
                <w:sz w:val="24"/>
                <w:szCs w:val="24"/>
              </w:rPr>
              <w:t xml:space="preserve">las </w:t>
            </w:r>
            <w:r w:rsidR="004C79FA" w:rsidRPr="00365A8B">
              <w:rPr>
                <w:rFonts w:cs="Arial"/>
                <w:color w:val="000000"/>
                <w:sz w:val="24"/>
                <w:szCs w:val="24"/>
              </w:rPr>
              <w:t>funciones de inspección, vigilancia y control a la función pública que ejercen los curadores urbanos, la aplicación del régimen disciplinario especia</w:t>
            </w:r>
            <w:r w:rsidR="0095593A">
              <w:rPr>
                <w:rFonts w:cs="Arial"/>
                <w:color w:val="000000"/>
                <w:sz w:val="24"/>
                <w:szCs w:val="24"/>
              </w:rPr>
              <w:t xml:space="preserve">l, así como el apoyo en el desarrollo y financiación </w:t>
            </w:r>
            <w:r w:rsidR="004C79FA" w:rsidRPr="00365A8B">
              <w:rPr>
                <w:rFonts w:cs="Arial"/>
                <w:color w:val="000000"/>
                <w:sz w:val="24"/>
                <w:szCs w:val="24"/>
              </w:rPr>
              <w:t>de los procesos de selección para su designación</w:t>
            </w:r>
            <w:r w:rsidRPr="00001F8D">
              <w:rPr>
                <w:rFonts w:cs="Arial"/>
                <w:color w:val="000000"/>
                <w:sz w:val="24"/>
                <w:szCs w:val="24"/>
              </w:rPr>
              <w:t>; para ello y con la finalidad de garantizar la sostenibilidad de</w:t>
            </w:r>
            <w:r w:rsidR="002D1B57">
              <w:rPr>
                <w:rFonts w:cs="Arial"/>
                <w:color w:val="000000"/>
                <w:sz w:val="24"/>
                <w:szCs w:val="24"/>
              </w:rPr>
              <w:t xml:space="preserve"> estas funciones </w:t>
            </w:r>
            <w:r w:rsidRPr="00001F8D">
              <w:rPr>
                <w:rFonts w:cs="Arial"/>
                <w:color w:val="000000"/>
                <w:sz w:val="24"/>
                <w:szCs w:val="24"/>
              </w:rPr>
              <w:t xml:space="preserve">se requiere recaudar un porcentaje de las expensas cobradas por los curadores urbanos. </w:t>
            </w:r>
          </w:p>
          <w:p w14:paraId="7C16C095" w14:textId="470F1D82" w:rsidR="004675C0" w:rsidRDefault="004675C0" w:rsidP="00BA5758">
            <w:pPr>
              <w:jc w:val="both"/>
              <w:rPr>
                <w:rFonts w:cs="Arial"/>
                <w:color w:val="000000"/>
                <w:sz w:val="24"/>
                <w:szCs w:val="24"/>
              </w:rPr>
            </w:pPr>
          </w:p>
          <w:p w14:paraId="2D322794" w14:textId="5EAB09D6" w:rsidR="004675C0" w:rsidRDefault="00C40EBA" w:rsidP="00BA5758">
            <w:pPr>
              <w:jc w:val="both"/>
              <w:rPr>
                <w:rFonts w:cs="Arial"/>
                <w:color w:val="000000"/>
                <w:sz w:val="24"/>
                <w:szCs w:val="24"/>
              </w:rPr>
            </w:pPr>
            <w:r>
              <w:rPr>
                <w:rFonts w:cs="Arial"/>
                <w:color w:val="000000"/>
                <w:sz w:val="24"/>
                <w:szCs w:val="24"/>
              </w:rPr>
              <w:t xml:space="preserve">De acuerdo con lo anterior, </w:t>
            </w:r>
            <w:r w:rsidR="00D12463">
              <w:rPr>
                <w:rFonts w:cs="Arial"/>
                <w:color w:val="000000"/>
                <w:sz w:val="24"/>
                <w:szCs w:val="24"/>
              </w:rPr>
              <w:t xml:space="preserve">mediante el presente proyecto de ley </w:t>
            </w:r>
            <w:r w:rsidR="00365A8B">
              <w:rPr>
                <w:rFonts w:cs="Arial"/>
                <w:color w:val="000000"/>
                <w:sz w:val="24"/>
                <w:szCs w:val="24"/>
              </w:rPr>
              <w:t>se fijan</w:t>
            </w:r>
            <w:r w:rsidR="00365A8B" w:rsidRPr="00365A8B">
              <w:rPr>
                <w:rFonts w:cs="Arial"/>
                <w:color w:val="000000"/>
                <w:sz w:val="24"/>
                <w:szCs w:val="24"/>
              </w:rPr>
              <w:t xml:space="preserve"> las reglas y directrices para determinar los costos para la sostenibilidad de las </w:t>
            </w:r>
            <w:r w:rsidR="002D1B57">
              <w:rPr>
                <w:rFonts w:cs="Arial"/>
                <w:color w:val="000000"/>
                <w:sz w:val="24"/>
                <w:szCs w:val="24"/>
              </w:rPr>
              <w:t>referidas funciones</w:t>
            </w:r>
            <w:r w:rsidR="00365A8B" w:rsidRPr="00365A8B">
              <w:rPr>
                <w:rFonts w:cs="Arial"/>
                <w:color w:val="000000"/>
                <w:sz w:val="24"/>
                <w:szCs w:val="24"/>
              </w:rPr>
              <w:t xml:space="preserve">, así como los beneficios derivados de la función púbica a cargo de curadores urbanos y su distribución, </w:t>
            </w:r>
            <w:r w:rsidR="002D1B57">
              <w:rPr>
                <w:rFonts w:cs="Arial"/>
                <w:color w:val="000000"/>
                <w:sz w:val="24"/>
                <w:szCs w:val="24"/>
              </w:rPr>
              <w:t>de la siguiente manera</w:t>
            </w:r>
            <w:r w:rsidR="00365A8B" w:rsidRPr="00365A8B">
              <w:rPr>
                <w:rFonts w:cs="Arial"/>
                <w:color w:val="000000"/>
                <w:sz w:val="24"/>
                <w:szCs w:val="24"/>
              </w:rPr>
              <w:t>:</w:t>
            </w:r>
          </w:p>
          <w:p w14:paraId="7A2DE8CB" w14:textId="77777777" w:rsidR="002D1B57" w:rsidRDefault="002D1B57" w:rsidP="00BA5758">
            <w:pPr>
              <w:jc w:val="both"/>
              <w:rPr>
                <w:rFonts w:cs="Arial"/>
                <w:color w:val="000000"/>
                <w:sz w:val="24"/>
                <w:szCs w:val="24"/>
              </w:rPr>
            </w:pPr>
          </w:p>
          <w:p w14:paraId="4C1DF101" w14:textId="77777777" w:rsidR="005A6B53" w:rsidRPr="005A6B53" w:rsidRDefault="005A6B53" w:rsidP="005A6B53">
            <w:pPr>
              <w:jc w:val="both"/>
              <w:rPr>
                <w:rFonts w:eastAsia="Arial" w:cs="Arial"/>
                <w:b/>
                <w:bCs/>
                <w:sz w:val="24"/>
                <w:szCs w:val="24"/>
                <w:lang w:val="es-CO"/>
              </w:rPr>
            </w:pPr>
            <w:r w:rsidRPr="005A6B53">
              <w:rPr>
                <w:rFonts w:eastAsia="Arial" w:cs="Arial"/>
                <w:b/>
                <w:bCs/>
                <w:sz w:val="24"/>
                <w:szCs w:val="24"/>
                <w:lang w:val="es-CO"/>
              </w:rPr>
              <w:t xml:space="preserve">A. Costos. </w:t>
            </w:r>
            <w:r w:rsidRPr="005A6B53">
              <w:rPr>
                <w:rFonts w:eastAsia="Arial" w:cs="Arial"/>
                <w:sz w:val="24"/>
                <w:szCs w:val="24"/>
                <w:lang w:val="es-CO"/>
              </w:rPr>
              <w:t>Los costos se calcularán conforme a las siguientes variables.</w:t>
            </w:r>
          </w:p>
          <w:p w14:paraId="33B38812" w14:textId="77777777" w:rsidR="005A6B53" w:rsidRPr="005A6B53" w:rsidRDefault="005A6B53" w:rsidP="005A6B53">
            <w:pPr>
              <w:jc w:val="both"/>
              <w:rPr>
                <w:rFonts w:eastAsia="Arial" w:cs="Arial"/>
                <w:b/>
                <w:bCs/>
                <w:sz w:val="24"/>
                <w:szCs w:val="24"/>
                <w:lang w:val="es-CO"/>
              </w:rPr>
            </w:pPr>
          </w:p>
          <w:p w14:paraId="0977EE76" w14:textId="77777777" w:rsidR="005A6B53" w:rsidRPr="005A6B53" w:rsidRDefault="005A6B53" w:rsidP="004E3E3E">
            <w:pPr>
              <w:pStyle w:val="Prrafodelista"/>
              <w:numPr>
                <w:ilvl w:val="0"/>
                <w:numId w:val="35"/>
              </w:numPr>
              <w:contextualSpacing/>
              <w:jc w:val="both"/>
              <w:rPr>
                <w:rFonts w:eastAsia="Arial" w:cs="Arial"/>
                <w:sz w:val="24"/>
                <w:szCs w:val="24"/>
                <w:lang w:val="es-CO"/>
              </w:rPr>
            </w:pPr>
            <w:r w:rsidRPr="005A6B53">
              <w:rPr>
                <w:rFonts w:eastAsia="Arial" w:cs="Arial"/>
                <w:sz w:val="24"/>
                <w:szCs w:val="24"/>
              </w:rPr>
              <w:t xml:space="preserve">Se deberá realizar una proyección de gastos de operación de la Delegada para Curadores Urbanos, </w:t>
            </w:r>
            <w:r w:rsidRPr="005A6B53">
              <w:rPr>
                <w:rFonts w:eastAsia="Arial" w:cs="Arial"/>
                <w:sz w:val="24"/>
                <w:szCs w:val="24"/>
                <w:lang w:val="es-CO"/>
              </w:rPr>
              <w:t>a través de la obtención de costos históricos y estimados, entendidos estos como:</w:t>
            </w:r>
          </w:p>
          <w:p w14:paraId="5903E920" w14:textId="77777777" w:rsidR="005A6B53" w:rsidRPr="005A6B53" w:rsidRDefault="005A6B53" w:rsidP="005A6B53">
            <w:pPr>
              <w:jc w:val="both"/>
              <w:rPr>
                <w:rFonts w:eastAsia="Arial" w:cs="Arial"/>
                <w:sz w:val="24"/>
                <w:szCs w:val="24"/>
              </w:rPr>
            </w:pPr>
            <w:r w:rsidRPr="005A6B53">
              <w:rPr>
                <w:rFonts w:eastAsia="Arial" w:cs="Arial"/>
                <w:b/>
                <w:bCs/>
                <w:sz w:val="24"/>
                <w:szCs w:val="24"/>
                <w:lang w:val="es-CO"/>
              </w:rPr>
              <w:t xml:space="preserve"> </w:t>
            </w:r>
          </w:p>
          <w:p w14:paraId="06135CAD" w14:textId="77777777" w:rsidR="005A6B53" w:rsidRPr="005A6B53" w:rsidRDefault="005A6B53" w:rsidP="005A6B53">
            <w:pPr>
              <w:ind w:left="720"/>
              <w:jc w:val="both"/>
              <w:rPr>
                <w:rFonts w:eastAsia="Arial" w:cs="Arial"/>
                <w:sz w:val="24"/>
                <w:szCs w:val="24"/>
              </w:rPr>
            </w:pPr>
            <w:r w:rsidRPr="005A6B53">
              <w:rPr>
                <w:rFonts w:eastAsia="Arial" w:cs="Arial"/>
                <w:b/>
                <w:bCs/>
                <w:sz w:val="24"/>
                <w:szCs w:val="24"/>
              </w:rPr>
              <w:t xml:space="preserve">Costos históricos. </w:t>
            </w:r>
            <w:r w:rsidRPr="005A6B53">
              <w:rPr>
                <w:rFonts w:eastAsia="Arial" w:cs="Arial"/>
                <w:sz w:val="24"/>
                <w:szCs w:val="24"/>
              </w:rPr>
              <w:t xml:space="preserve">Es el sistema de reconocimiento de los costos y gastos en el proceso contable utilizando el sistema de devengo o causación establecido en el Plan General de Contabilidad Pública.  </w:t>
            </w:r>
          </w:p>
          <w:p w14:paraId="2FD7097A" w14:textId="77777777" w:rsidR="005A6B53" w:rsidRPr="005A6B53" w:rsidRDefault="005A6B53" w:rsidP="005A6B53">
            <w:pPr>
              <w:ind w:left="720"/>
              <w:jc w:val="both"/>
              <w:rPr>
                <w:rFonts w:eastAsia="Arial" w:cs="Arial"/>
                <w:sz w:val="24"/>
                <w:szCs w:val="24"/>
              </w:rPr>
            </w:pPr>
          </w:p>
          <w:p w14:paraId="679362BD" w14:textId="77777777" w:rsidR="005A6B53" w:rsidRPr="005A6B53" w:rsidRDefault="005A6B53" w:rsidP="005A6B53">
            <w:pPr>
              <w:ind w:left="720"/>
              <w:jc w:val="both"/>
              <w:rPr>
                <w:rFonts w:eastAsia="Arial" w:cs="Arial"/>
                <w:sz w:val="24"/>
                <w:szCs w:val="24"/>
              </w:rPr>
            </w:pPr>
            <w:r w:rsidRPr="005A6B53">
              <w:rPr>
                <w:rFonts w:eastAsia="Arial" w:cs="Arial"/>
                <w:b/>
                <w:bCs/>
                <w:sz w:val="24"/>
                <w:szCs w:val="24"/>
              </w:rPr>
              <w:t xml:space="preserve">Costos estimados. </w:t>
            </w:r>
            <w:r w:rsidRPr="005A6B53">
              <w:rPr>
                <w:rFonts w:eastAsia="Arial" w:cs="Arial"/>
                <w:sz w:val="24"/>
                <w:szCs w:val="24"/>
              </w:rPr>
              <w:t xml:space="preserve">Es un sistema de predeterminación de costos en el cual la entidad calcula los costos que se causarán en un periodo determinado de manera anticipada, teniendo como base para el cálculo, los costos causados en periodos anteriores, los cuales se ajustan de acuerdo con los cambios en la economía o en el mercado. Es un cálculo que se hace con base en la experiencia y en los datos históricos. </w:t>
            </w:r>
          </w:p>
          <w:p w14:paraId="1C3FC933" w14:textId="77777777" w:rsidR="005A6B53" w:rsidRPr="005A6B53" w:rsidRDefault="005A6B53" w:rsidP="005A6B53">
            <w:pPr>
              <w:ind w:left="720"/>
              <w:jc w:val="both"/>
              <w:rPr>
                <w:rFonts w:eastAsia="Arial" w:cs="Arial"/>
                <w:sz w:val="24"/>
                <w:szCs w:val="24"/>
              </w:rPr>
            </w:pPr>
          </w:p>
          <w:p w14:paraId="56166984" w14:textId="77777777" w:rsidR="005A6B53" w:rsidRPr="005A6B53" w:rsidRDefault="005A6B53" w:rsidP="004E3E3E">
            <w:pPr>
              <w:pStyle w:val="Prrafodelista"/>
              <w:numPr>
                <w:ilvl w:val="0"/>
                <w:numId w:val="35"/>
              </w:numPr>
              <w:autoSpaceDE w:val="0"/>
              <w:autoSpaceDN w:val="0"/>
              <w:adjustRightInd w:val="0"/>
              <w:contextualSpacing/>
              <w:jc w:val="both"/>
              <w:rPr>
                <w:rFonts w:eastAsia="Calibri" w:cs="Arial"/>
                <w:color w:val="000000"/>
                <w:sz w:val="24"/>
                <w:szCs w:val="24"/>
                <w:lang w:val="es-CO" w:eastAsia="es-CO"/>
              </w:rPr>
            </w:pPr>
            <w:r w:rsidRPr="005A6B53">
              <w:rPr>
                <w:rFonts w:eastAsia="Arial" w:cs="Arial"/>
                <w:sz w:val="24"/>
                <w:szCs w:val="24"/>
              </w:rPr>
              <w:t xml:space="preserve">Entre los costos históricos y estimados, </w:t>
            </w:r>
            <w:r w:rsidRPr="005A6B53">
              <w:rPr>
                <w:rFonts w:eastAsia="Arial" w:cs="Arial"/>
                <w:sz w:val="24"/>
                <w:szCs w:val="24"/>
                <w:lang w:val="es-CO"/>
              </w:rPr>
              <w:t xml:space="preserve">dadas las condiciones y la naturaleza de las actividades que se realizan </w:t>
            </w:r>
            <w:r w:rsidRPr="005A6B53">
              <w:rPr>
                <w:rFonts w:eastAsia="Calibri" w:cs="Arial"/>
                <w:color w:val="000000"/>
                <w:sz w:val="24"/>
                <w:szCs w:val="24"/>
                <w:lang w:val="es-CO" w:eastAsia="es-CO"/>
              </w:rPr>
              <w:t>deberán tenerse en cuenta los costos fijos y variables, principalmente los siguientes, así:</w:t>
            </w:r>
          </w:p>
          <w:p w14:paraId="34DACB70" w14:textId="77777777" w:rsidR="005A6B53" w:rsidRPr="005A6B53" w:rsidRDefault="005A6B53" w:rsidP="005A6B53">
            <w:pPr>
              <w:pStyle w:val="Prrafodelista"/>
              <w:autoSpaceDE w:val="0"/>
              <w:autoSpaceDN w:val="0"/>
              <w:adjustRightInd w:val="0"/>
              <w:rPr>
                <w:rFonts w:eastAsia="Arial" w:cs="Arial"/>
                <w:sz w:val="24"/>
                <w:szCs w:val="24"/>
              </w:rPr>
            </w:pPr>
          </w:p>
          <w:tbl>
            <w:tblPr>
              <w:tblW w:w="8260" w:type="dxa"/>
              <w:jc w:val="center"/>
              <w:tblLayout w:type="fixed"/>
              <w:tblCellMar>
                <w:left w:w="70" w:type="dxa"/>
                <w:right w:w="70" w:type="dxa"/>
              </w:tblCellMar>
              <w:tblLook w:val="04A0" w:firstRow="1" w:lastRow="0" w:firstColumn="1" w:lastColumn="0" w:noHBand="0" w:noVBand="1"/>
            </w:tblPr>
            <w:tblGrid>
              <w:gridCol w:w="2060"/>
              <w:gridCol w:w="6200"/>
            </w:tblGrid>
            <w:tr w:rsidR="005A6B53" w:rsidRPr="005A6B53" w14:paraId="738E2222" w14:textId="77777777" w:rsidTr="00CB475F">
              <w:trPr>
                <w:trHeight w:val="300"/>
                <w:jc w:val="center"/>
              </w:trPr>
              <w:tc>
                <w:tcPr>
                  <w:tcW w:w="2060" w:type="dxa"/>
                  <w:vMerge w:val="restart"/>
                  <w:tcBorders>
                    <w:top w:val="single" w:sz="8" w:space="0" w:color="auto"/>
                    <w:left w:val="single" w:sz="8" w:space="0" w:color="auto"/>
                    <w:bottom w:val="single" w:sz="8" w:space="0" w:color="000000"/>
                    <w:right w:val="single" w:sz="8" w:space="0" w:color="auto"/>
                  </w:tcBorders>
                  <w:vAlign w:val="center"/>
                  <w:hideMark/>
                </w:tcPr>
                <w:p w14:paraId="48BB6366" w14:textId="77777777" w:rsidR="005A6B53" w:rsidRPr="005A6B53" w:rsidRDefault="005A6B53" w:rsidP="005A6B53">
                  <w:pPr>
                    <w:jc w:val="center"/>
                    <w:rPr>
                      <w:rFonts w:cs="Arial"/>
                      <w:b/>
                      <w:bCs/>
                      <w:color w:val="000000"/>
                      <w:sz w:val="24"/>
                      <w:szCs w:val="24"/>
                      <w:lang w:val="es-CO" w:eastAsia="es-CO"/>
                    </w:rPr>
                  </w:pPr>
                  <w:r w:rsidRPr="005A6B53">
                    <w:rPr>
                      <w:rFonts w:cs="Arial"/>
                      <w:b/>
                      <w:bCs/>
                      <w:color w:val="000000"/>
                      <w:sz w:val="24"/>
                      <w:szCs w:val="24"/>
                      <w:lang w:val="es-CO" w:eastAsia="es-CO"/>
                    </w:rPr>
                    <w:t>COSTOS FIJOS</w:t>
                  </w:r>
                </w:p>
              </w:tc>
              <w:tc>
                <w:tcPr>
                  <w:tcW w:w="6200" w:type="dxa"/>
                  <w:tcBorders>
                    <w:top w:val="single" w:sz="8" w:space="0" w:color="auto"/>
                    <w:left w:val="nil"/>
                    <w:bottom w:val="single" w:sz="4" w:space="0" w:color="auto"/>
                    <w:right w:val="single" w:sz="8" w:space="0" w:color="auto"/>
                  </w:tcBorders>
                  <w:noWrap/>
                  <w:vAlign w:val="bottom"/>
                  <w:hideMark/>
                </w:tcPr>
                <w:p w14:paraId="57E1267B" w14:textId="77777777" w:rsidR="005A6B53" w:rsidRPr="005A6B53" w:rsidRDefault="005A6B53" w:rsidP="005A6B53">
                  <w:pPr>
                    <w:rPr>
                      <w:rFonts w:cs="Arial"/>
                      <w:color w:val="000000"/>
                      <w:sz w:val="24"/>
                      <w:szCs w:val="24"/>
                      <w:lang w:val="es-CO" w:eastAsia="es-CO"/>
                    </w:rPr>
                  </w:pPr>
                  <w:r w:rsidRPr="005A6B53">
                    <w:rPr>
                      <w:rFonts w:cs="Arial"/>
                      <w:color w:val="000000"/>
                      <w:sz w:val="24"/>
                      <w:szCs w:val="24"/>
                      <w:lang w:val="es-CO" w:eastAsia="es-CO"/>
                    </w:rPr>
                    <w:t>PLANTA DE PERSONAL</w:t>
                  </w:r>
                </w:p>
              </w:tc>
            </w:tr>
            <w:tr w:rsidR="005A6B53" w:rsidRPr="005A6B53" w14:paraId="7135CB84" w14:textId="77777777" w:rsidTr="00CB475F">
              <w:trPr>
                <w:trHeight w:val="300"/>
                <w:jc w:val="center"/>
              </w:trPr>
              <w:tc>
                <w:tcPr>
                  <w:tcW w:w="2060" w:type="dxa"/>
                  <w:vMerge/>
                  <w:tcBorders>
                    <w:top w:val="single" w:sz="8" w:space="0" w:color="auto"/>
                    <w:left w:val="single" w:sz="8" w:space="0" w:color="auto"/>
                    <w:bottom w:val="single" w:sz="8" w:space="0" w:color="000000"/>
                    <w:right w:val="single" w:sz="8" w:space="0" w:color="auto"/>
                  </w:tcBorders>
                  <w:vAlign w:val="center"/>
                  <w:hideMark/>
                </w:tcPr>
                <w:p w14:paraId="2EC0704F" w14:textId="77777777" w:rsidR="005A6B53" w:rsidRPr="005A6B53" w:rsidRDefault="005A6B53" w:rsidP="005A6B53">
                  <w:pPr>
                    <w:jc w:val="center"/>
                    <w:rPr>
                      <w:rFonts w:cs="Arial"/>
                      <w:b/>
                      <w:bCs/>
                      <w:color w:val="000000"/>
                      <w:sz w:val="24"/>
                      <w:szCs w:val="24"/>
                      <w:lang w:val="es-CO" w:eastAsia="es-CO"/>
                    </w:rPr>
                  </w:pPr>
                </w:p>
              </w:tc>
              <w:tc>
                <w:tcPr>
                  <w:tcW w:w="6200" w:type="dxa"/>
                  <w:tcBorders>
                    <w:top w:val="nil"/>
                    <w:left w:val="nil"/>
                    <w:bottom w:val="single" w:sz="4" w:space="0" w:color="auto"/>
                    <w:right w:val="single" w:sz="8" w:space="0" w:color="auto"/>
                  </w:tcBorders>
                  <w:noWrap/>
                  <w:vAlign w:val="bottom"/>
                  <w:hideMark/>
                </w:tcPr>
                <w:p w14:paraId="27A14737" w14:textId="77777777" w:rsidR="005A6B53" w:rsidRPr="005A6B53" w:rsidRDefault="005A6B53" w:rsidP="005A6B53">
                  <w:pPr>
                    <w:rPr>
                      <w:rFonts w:cs="Arial"/>
                      <w:color w:val="000000"/>
                      <w:sz w:val="24"/>
                      <w:szCs w:val="24"/>
                      <w:lang w:val="es-CO" w:eastAsia="es-CO"/>
                    </w:rPr>
                  </w:pPr>
                  <w:r w:rsidRPr="005A6B53">
                    <w:rPr>
                      <w:rFonts w:cs="Arial"/>
                      <w:color w:val="000000"/>
                      <w:sz w:val="24"/>
                      <w:szCs w:val="24"/>
                      <w:lang w:val="es-CO" w:eastAsia="es-CO"/>
                    </w:rPr>
                    <w:t>INFRAESTRUCTURA FÍSICA</w:t>
                  </w:r>
                </w:p>
              </w:tc>
            </w:tr>
            <w:tr w:rsidR="005A6B53" w:rsidRPr="005A6B53" w14:paraId="6ED22A82" w14:textId="77777777" w:rsidTr="00CB475F">
              <w:trPr>
                <w:trHeight w:val="300"/>
                <w:jc w:val="center"/>
              </w:trPr>
              <w:tc>
                <w:tcPr>
                  <w:tcW w:w="2060" w:type="dxa"/>
                  <w:vMerge/>
                  <w:tcBorders>
                    <w:top w:val="single" w:sz="8" w:space="0" w:color="auto"/>
                    <w:left w:val="single" w:sz="8" w:space="0" w:color="auto"/>
                    <w:bottom w:val="single" w:sz="8" w:space="0" w:color="000000"/>
                    <w:right w:val="single" w:sz="8" w:space="0" w:color="auto"/>
                  </w:tcBorders>
                  <w:vAlign w:val="center"/>
                  <w:hideMark/>
                </w:tcPr>
                <w:p w14:paraId="37CD6C2F" w14:textId="77777777" w:rsidR="005A6B53" w:rsidRPr="005A6B53" w:rsidRDefault="005A6B53" w:rsidP="005A6B53">
                  <w:pPr>
                    <w:jc w:val="center"/>
                    <w:rPr>
                      <w:rFonts w:cs="Arial"/>
                      <w:b/>
                      <w:bCs/>
                      <w:color w:val="000000"/>
                      <w:sz w:val="24"/>
                      <w:szCs w:val="24"/>
                      <w:lang w:val="es-CO" w:eastAsia="es-CO"/>
                    </w:rPr>
                  </w:pPr>
                </w:p>
              </w:tc>
              <w:tc>
                <w:tcPr>
                  <w:tcW w:w="6200" w:type="dxa"/>
                  <w:tcBorders>
                    <w:top w:val="nil"/>
                    <w:left w:val="nil"/>
                    <w:bottom w:val="single" w:sz="4" w:space="0" w:color="auto"/>
                    <w:right w:val="single" w:sz="8" w:space="0" w:color="auto"/>
                  </w:tcBorders>
                  <w:noWrap/>
                  <w:vAlign w:val="bottom"/>
                  <w:hideMark/>
                </w:tcPr>
                <w:p w14:paraId="5EBC09D5" w14:textId="77777777" w:rsidR="005A6B53" w:rsidRPr="005A6B53" w:rsidRDefault="005A6B53" w:rsidP="005A6B53">
                  <w:pPr>
                    <w:rPr>
                      <w:rFonts w:cs="Arial"/>
                      <w:color w:val="000000"/>
                      <w:sz w:val="24"/>
                      <w:szCs w:val="24"/>
                      <w:lang w:val="es-CO" w:eastAsia="es-CO"/>
                    </w:rPr>
                  </w:pPr>
                  <w:r w:rsidRPr="005A6B53">
                    <w:rPr>
                      <w:rFonts w:cs="Arial"/>
                      <w:color w:val="000000"/>
                      <w:sz w:val="24"/>
                      <w:szCs w:val="24"/>
                      <w:lang w:val="es-CO" w:eastAsia="es-CO"/>
                    </w:rPr>
                    <w:t>INFRAESTRUCTURA Y DESARROLLOS TECNOLÓGICOS</w:t>
                  </w:r>
                </w:p>
              </w:tc>
            </w:tr>
            <w:tr w:rsidR="005A6B53" w:rsidRPr="005A6B53" w14:paraId="31E915F5" w14:textId="77777777" w:rsidTr="00CB475F">
              <w:trPr>
                <w:trHeight w:val="300"/>
                <w:jc w:val="center"/>
              </w:trPr>
              <w:tc>
                <w:tcPr>
                  <w:tcW w:w="2060" w:type="dxa"/>
                  <w:vMerge/>
                  <w:tcBorders>
                    <w:top w:val="single" w:sz="8" w:space="0" w:color="auto"/>
                    <w:left w:val="single" w:sz="8" w:space="0" w:color="auto"/>
                    <w:bottom w:val="single" w:sz="8" w:space="0" w:color="000000"/>
                    <w:right w:val="single" w:sz="8" w:space="0" w:color="auto"/>
                  </w:tcBorders>
                  <w:vAlign w:val="center"/>
                  <w:hideMark/>
                </w:tcPr>
                <w:p w14:paraId="0FB5C048" w14:textId="77777777" w:rsidR="005A6B53" w:rsidRPr="005A6B53" w:rsidRDefault="005A6B53" w:rsidP="005A6B53">
                  <w:pPr>
                    <w:jc w:val="center"/>
                    <w:rPr>
                      <w:rFonts w:cs="Arial"/>
                      <w:b/>
                      <w:bCs/>
                      <w:color w:val="000000"/>
                      <w:sz w:val="24"/>
                      <w:szCs w:val="24"/>
                      <w:lang w:val="es-CO" w:eastAsia="es-CO"/>
                    </w:rPr>
                  </w:pPr>
                </w:p>
              </w:tc>
              <w:tc>
                <w:tcPr>
                  <w:tcW w:w="6200" w:type="dxa"/>
                  <w:tcBorders>
                    <w:top w:val="nil"/>
                    <w:left w:val="nil"/>
                    <w:bottom w:val="single" w:sz="4" w:space="0" w:color="auto"/>
                    <w:right w:val="single" w:sz="8" w:space="0" w:color="auto"/>
                  </w:tcBorders>
                  <w:noWrap/>
                  <w:vAlign w:val="bottom"/>
                  <w:hideMark/>
                </w:tcPr>
                <w:p w14:paraId="4A9E31CB" w14:textId="77777777" w:rsidR="005A6B53" w:rsidRPr="005A6B53" w:rsidRDefault="005A6B53" w:rsidP="005A6B53">
                  <w:pPr>
                    <w:rPr>
                      <w:rFonts w:cs="Arial"/>
                      <w:color w:val="000000"/>
                      <w:sz w:val="24"/>
                      <w:szCs w:val="24"/>
                      <w:lang w:val="es-CO" w:eastAsia="es-CO"/>
                    </w:rPr>
                  </w:pPr>
                  <w:r w:rsidRPr="005A6B53">
                    <w:rPr>
                      <w:rFonts w:cs="Arial"/>
                      <w:color w:val="000000"/>
                      <w:sz w:val="24"/>
                      <w:szCs w:val="24"/>
                      <w:lang w:val="es-CO" w:eastAsia="es-CO"/>
                    </w:rPr>
                    <w:t>INSUMOS</w:t>
                  </w:r>
                </w:p>
              </w:tc>
            </w:tr>
            <w:tr w:rsidR="005A6B53" w:rsidRPr="005A6B53" w14:paraId="544BE1A7" w14:textId="77777777" w:rsidTr="00CB475F">
              <w:trPr>
                <w:trHeight w:val="315"/>
                <w:jc w:val="center"/>
              </w:trPr>
              <w:tc>
                <w:tcPr>
                  <w:tcW w:w="2060" w:type="dxa"/>
                  <w:vMerge/>
                  <w:tcBorders>
                    <w:top w:val="single" w:sz="8" w:space="0" w:color="auto"/>
                    <w:left w:val="single" w:sz="8" w:space="0" w:color="auto"/>
                    <w:bottom w:val="single" w:sz="8" w:space="0" w:color="000000"/>
                    <w:right w:val="single" w:sz="8" w:space="0" w:color="auto"/>
                  </w:tcBorders>
                  <w:vAlign w:val="center"/>
                  <w:hideMark/>
                </w:tcPr>
                <w:p w14:paraId="55FC3058" w14:textId="77777777" w:rsidR="005A6B53" w:rsidRPr="005A6B53" w:rsidRDefault="005A6B53" w:rsidP="005A6B53">
                  <w:pPr>
                    <w:jc w:val="center"/>
                    <w:rPr>
                      <w:rFonts w:cs="Arial"/>
                      <w:b/>
                      <w:bCs/>
                      <w:color w:val="000000"/>
                      <w:sz w:val="24"/>
                      <w:szCs w:val="24"/>
                      <w:lang w:val="es-CO" w:eastAsia="es-CO"/>
                    </w:rPr>
                  </w:pPr>
                </w:p>
              </w:tc>
              <w:tc>
                <w:tcPr>
                  <w:tcW w:w="6200" w:type="dxa"/>
                  <w:tcBorders>
                    <w:top w:val="nil"/>
                    <w:left w:val="nil"/>
                    <w:bottom w:val="single" w:sz="8" w:space="0" w:color="auto"/>
                    <w:right w:val="single" w:sz="8" w:space="0" w:color="auto"/>
                  </w:tcBorders>
                  <w:noWrap/>
                  <w:vAlign w:val="bottom"/>
                  <w:hideMark/>
                </w:tcPr>
                <w:p w14:paraId="46D77FBA" w14:textId="77777777" w:rsidR="005A6B53" w:rsidRPr="005A6B53" w:rsidRDefault="005A6B53" w:rsidP="005A6B53">
                  <w:pPr>
                    <w:rPr>
                      <w:rFonts w:cs="Arial"/>
                      <w:color w:val="000000"/>
                      <w:sz w:val="24"/>
                      <w:szCs w:val="24"/>
                      <w:lang w:val="es-CO" w:eastAsia="es-CO"/>
                    </w:rPr>
                  </w:pPr>
                  <w:r w:rsidRPr="005A6B53">
                    <w:rPr>
                      <w:rFonts w:cs="Arial"/>
                      <w:color w:val="000000"/>
                      <w:sz w:val="24"/>
                      <w:szCs w:val="24"/>
                      <w:lang w:val="es-CO" w:eastAsia="es-CO"/>
                    </w:rPr>
                    <w:t>SERVICIOS</w:t>
                  </w:r>
                </w:p>
              </w:tc>
            </w:tr>
            <w:tr w:rsidR="005A6B53" w:rsidRPr="005A6B53" w14:paraId="3D437FEC" w14:textId="77777777" w:rsidTr="00CB475F">
              <w:trPr>
                <w:trHeight w:val="300"/>
                <w:jc w:val="center"/>
              </w:trPr>
              <w:tc>
                <w:tcPr>
                  <w:tcW w:w="2060" w:type="dxa"/>
                  <w:vMerge w:val="restart"/>
                  <w:tcBorders>
                    <w:top w:val="nil"/>
                    <w:left w:val="single" w:sz="8" w:space="0" w:color="auto"/>
                    <w:bottom w:val="single" w:sz="8" w:space="0" w:color="000000"/>
                    <w:right w:val="single" w:sz="8" w:space="0" w:color="auto"/>
                  </w:tcBorders>
                  <w:vAlign w:val="center"/>
                  <w:hideMark/>
                </w:tcPr>
                <w:p w14:paraId="7E1CB0C3" w14:textId="77777777" w:rsidR="005A6B53" w:rsidRPr="005A6B53" w:rsidRDefault="005A6B53" w:rsidP="005A6B53">
                  <w:pPr>
                    <w:jc w:val="center"/>
                    <w:rPr>
                      <w:rFonts w:cs="Arial"/>
                      <w:b/>
                      <w:bCs/>
                      <w:color w:val="000000"/>
                      <w:sz w:val="24"/>
                      <w:szCs w:val="24"/>
                      <w:lang w:val="es-CO" w:eastAsia="es-CO"/>
                    </w:rPr>
                  </w:pPr>
                  <w:r w:rsidRPr="005A6B53">
                    <w:rPr>
                      <w:rFonts w:cs="Arial"/>
                      <w:b/>
                      <w:bCs/>
                      <w:color w:val="000000"/>
                      <w:sz w:val="24"/>
                      <w:szCs w:val="24"/>
                      <w:lang w:val="es-CO" w:eastAsia="es-CO"/>
                    </w:rPr>
                    <w:t>COSTOS VARIABLES</w:t>
                  </w:r>
                </w:p>
              </w:tc>
              <w:tc>
                <w:tcPr>
                  <w:tcW w:w="6200" w:type="dxa"/>
                  <w:tcBorders>
                    <w:top w:val="nil"/>
                    <w:left w:val="nil"/>
                    <w:bottom w:val="single" w:sz="4" w:space="0" w:color="auto"/>
                    <w:right w:val="single" w:sz="8" w:space="0" w:color="auto"/>
                  </w:tcBorders>
                  <w:noWrap/>
                  <w:vAlign w:val="bottom"/>
                  <w:hideMark/>
                </w:tcPr>
                <w:p w14:paraId="2DB614AA" w14:textId="77777777" w:rsidR="005A6B53" w:rsidRPr="005A6B53" w:rsidRDefault="005A6B53" w:rsidP="005A6B53">
                  <w:pPr>
                    <w:rPr>
                      <w:rFonts w:cs="Arial"/>
                      <w:color w:val="000000"/>
                      <w:sz w:val="24"/>
                      <w:szCs w:val="24"/>
                      <w:lang w:val="es-CO" w:eastAsia="es-CO"/>
                    </w:rPr>
                  </w:pPr>
                  <w:r w:rsidRPr="005A6B53">
                    <w:rPr>
                      <w:rFonts w:cs="Arial"/>
                      <w:color w:val="000000"/>
                      <w:sz w:val="24"/>
                      <w:szCs w:val="24"/>
                      <w:lang w:val="es-CO" w:eastAsia="es-CO"/>
                    </w:rPr>
                    <w:t xml:space="preserve">VIÁTICOS Y GASTOS DE DESPLAZAMIENTO </w:t>
                  </w:r>
                </w:p>
              </w:tc>
            </w:tr>
            <w:tr w:rsidR="005A6B53" w:rsidRPr="005A6B53" w14:paraId="63D6B983" w14:textId="77777777" w:rsidTr="00CB475F">
              <w:trPr>
                <w:trHeight w:val="315"/>
                <w:jc w:val="center"/>
              </w:trPr>
              <w:tc>
                <w:tcPr>
                  <w:tcW w:w="2060" w:type="dxa"/>
                  <w:vMerge/>
                  <w:tcBorders>
                    <w:top w:val="nil"/>
                    <w:left w:val="single" w:sz="8" w:space="0" w:color="auto"/>
                    <w:bottom w:val="single" w:sz="8" w:space="0" w:color="000000"/>
                    <w:right w:val="single" w:sz="8" w:space="0" w:color="auto"/>
                  </w:tcBorders>
                  <w:vAlign w:val="center"/>
                  <w:hideMark/>
                </w:tcPr>
                <w:p w14:paraId="618F431E" w14:textId="77777777" w:rsidR="005A6B53" w:rsidRPr="005A6B53" w:rsidRDefault="005A6B53" w:rsidP="005A6B53">
                  <w:pPr>
                    <w:jc w:val="center"/>
                    <w:rPr>
                      <w:rFonts w:cs="Arial"/>
                      <w:b/>
                      <w:bCs/>
                      <w:color w:val="000000"/>
                      <w:sz w:val="24"/>
                      <w:szCs w:val="24"/>
                      <w:lang w:val="es-CO" w:eastAsia="es-CO"/>
                    </w:rPr>
                  </w:pPr>
                </w:p>
              </w:tc>
              <w:tc>
                <w:tcPr>
                  <w:tcW w:w="6200" w:type="dxa"/>
                  <w:tcBorders>
                    <w:top w:val="nil"/>
                    <w:left w:val="nil"/>
                    <w:bottom w:val="single" w:sz="8" w:space="0" w:color="auto"/>
                    <w:right w:val="single" w:sz="8" w:space="0" w:color="auto"/>
                  </w:tcBorders>
                  <w:noWrap/>
                  <w:vAlign w:val="bottom"/>
                  <w:hideMark/>
                </w:tcPr>
                <w:p w14:paraId="500ED38D" w14:textId="77777777" w:rsidR="005A6B53" w:rsidRPr="005A6B53" w:rsidRDefault="005A6B53" w:rsidP="005A6B53">
                  <w:pPr>
                    <w:rPr>
                      <w:rFonts w:cs="Arial"/>
                      <w:color w:val="000000"/>
                      <w:sz w:val="24"/>
                      <w:szCs w:val="24"/>
                      <w:lang w:val="es-CO" w:eastAsia="es-CO"/>
                    </w:rPr>
                  </w:pPr>
                  <w:r w:rsidRPr="005A6B53">
                    <w:rPr>
                      <w:rFonts w:cs="Arial"/>
                      <w:color w:val="000000"/>
                      <w:sz w:val="24"/>
                      <w:szCs w:val="24"/>
                      <w:lang w:val="es-CO" w:eastAsia="es-CO"/>
                    </w:rPr>
                    <w:t>CONCURSO PÚBLICO DE MÉRITOS</w:t>
                  </w:r>
                </w:p>
              </w:tc>
            </w:tr>
          </w:tbl>
          <w:p w14:paraId="3F97C901" w14:textId="77777777" w:rsidR="005A6B53" w:rsidRDefault="005A6B53" w:rsidP="005A6B53">
            <w:pPr>
              <w:autoSpaceDE w:val="0"/>
              <w:autoSpaceDN w:val="0"/>
              <w:adjustRightInd w:val="0"/>
              <w:rPr>
                <w:rFonts w:eastAsia="Calibri" w:cs="Arial"/>
                <w:color w:val="000000"/>
                <w:sz w:val="24"/>
                <w:szCs w:val="24"/>
                <w:lang w:val="es-CO" w:eastAsia="es-CO"/>
              </w:rPr>
            </w:pPr>
          </w:p>
          <w:p w14:paraId="7AE11562" w14:textId="77777777" w:rsidR="004D6AD7" w:rsidRPr="00001F8D" w:rsidRDefault="004D6AD7" w:rsidP="004D6AD7">
            <w:pPr>
              <w:jc w:val="both"/>
              <w:rPr>
                <w:rFonts w:cs="Arial"/>
                <w:sz w:val="24"/>
                <w:szCs w:val="24"/>
              </w:rPr>
            </w:pPr>
            <w:r w:rsidRPr="00001F8D">
              <w:rPr>
                <w:rFonts w:cs="Arial"/>
                <w:sz w:val="24"/>
                <w:szCs w:val="24"/>
              </w:rPr>
              <w:t>Con respecto a los gastos fijos y variables para la operación de la Superintendencia Delegada para Curadores Urbanos actualmente se tiene que dentro de los gastos fijos se clasifican aquellos que se causan periódicamente y no varían en función de los cambios que pueden presentarse en los niveles de operación del proceso, como, por ejemplo, planta de personal, infraestructura física/tecnológica, insumos y servicios.</w:t>
            </w:r>
          </w:p>
          <w:p w14:paraId="27FE59DF" w14:textId="77777777" w:rsidR="004D6AD7" w:rsidRPr="00001F8D" w:rsidRDefault="004D6AD7" w:rsidP="004D6AD7">
            <w:pPr>
              <w:jc w:val="both"/>
              <w:rPr>
                <w:rFonts w:cs="Arial"/>
                <w:sz w:val="24"/>
                <w:szCs w:val="24"/>
              </w:rPr>
            </w:pPr>
            <w:r w:rsidRPr="00001F8D">
              <w:rPr>
                <w:rFonts w:cs="Arial"/>
                <w:sz w:val="24"/>
                <w:szCs w:val="24"/>
              </w:rPr>
              <w:t xml:space="preserve"> </w:t>
            </w:r>
          </w:p>
          <w:p w14:paraId="63CA90DC" w14:textId="77777777" w:rsidR="004D6AD7" w:rsidRPr="00001F8D" w:rsidRDefault="004D6AD7" w:rsidP="004D6AD7">
            <w:pPr>
              <w:jc w:val="both"/>
              <w:rPr>
                <w:rFonts w:cs="Arial"/>
                <w:sz w:val="24"/>
                <w:szCs w:val="24"/>
              </w:rPr>
            </w:pPr>
            <w:r w:rsidRPr="00001F8D">
              <w:rPr>
                <w:rFonts w:cs="Arial"/>
                <w:sz w:val="24"/>
                <w:szCs w:val="24"/>
              </w:rPr>
              <w:t xml:space="preserve">Por otro lado, los gastos variables cambian en función de la ejecución del proceso y están asociados a las actividades de inspección, vigilancia y control tales como visitas generales, especiales y de seguimiento que tienen asociados gastos de desplazamiento y viáticos de acuerdo con la cantidad de comisionados, municipio de destino, entre otros. Además, se deben considerar los gastos causados por el concurso de méritos dirigido a la conformación de las listas de elegibles que permitan a las administraciones municipales o distritales realizar las designaciones y posesiones correspondientes de los curadores urbanos, actividad que, según lo dispuesto en la Ley 1796 de 2016, debe apoyar la Superintendencia de Notariado y Registro - SNR y que tiene una variación toda vez que deben considerarse las faltas absolutas de curadores urbanos, nuevas plazas viabilizadas, listas de elegibles agotadas o vencidas, entre otros aspectos. </w:t>
            </w:r>
          </w:p>
          <w:p w14:paraId="6D242162" w14:textId="77777777" w:rsidR="004D6AD7" w:rsidRPr="00001F8D" w:rsidRDefault="004D6AD7" w:rsidP="004D6AD7">
            <w:pPr>
              <w:keepNext/>
              <w:keepLines/>
              <w:spacing w:before="240"/>
              <w:jc w:val="both"/>
              <w:outlineLvl w:val="0"/>
              <w:rPr>
                <w:rFonts w:cs="Arial"/>
                <w:b/>
                <w:sz w:val="24"/>
                <w:szCs w:val="24"/>
                <w:vertAlign w:val="superscript"/>
              </w:rPr>
            </w:pPr>
            <w:bookmarkStart w:id="1" w:name="_Toc128408261"/>
            <w:r w:rsidRPr="00001F8D">
              <w:rPr>
                <w:rFonts w:cs="Arial"/>
                <w:b/>
                <w:sz w:val="24"/>
                <w:szCs w:val="24"/>
              </w:rPr>
              <w:t>Gastos fijos</w:t>
            </w:r>
            <w:bookmarkEnd w:id="1"/>
          </w:p>
          <w:p w14:paraId="1E21A829" w14:textId="77777777" w:rsidR="004D6AD7" w:rsidRPr="00001F8D" w:rsidRDefault="004D6AD7" w:rsidP="004D6AD7">
            <w:pPr>
              <w:keepNext/>
              <w:keepLines/>
              <w:spacing w:before="40"/>
              <w:jc w:val="both"/>
              <w:outlineLvl w:val="1"/>
              <w:rPr>
                <w:rFonts w:cs="Arial"/>
                <w:b/>
                <w:sz w:val="24"/>
                <w:szCs w:val="24"/>
              </w:rPr>
            </w:pPr>
            <w:bookmarkStart w:id="2" w:name="_Toc128408262"/>
            <w:r w:rsidRPr="00001F8D">
              <w:rPr>
                <w:rFonts w:cs="Arial"/>
                <w:b/>
                <w:sz w:val="24"/>
                <w:szCs w:val="24"/>
              </w:rPr>
              <w:t xml:space="preserve">Planta de personal  </w:t>
            </w:r>
            <w:bookmarkEnd w:id="2"/>
            <w:r w:rsidRPr="00001F8D">
              <w:rPr>
                <w:rFonts w:cs="Arial"/>
                <w:b/>
                <w:sz w:val="24"/>
                <w:szCs w:val="24"/>
              </w:rPr>
              <w:t xml:space="preserve"> </w:t>
            </w:r>
          </w:p>
          <w:p w14:paraId="0C3CF49B" w14:textId="77777777" w:rsidR="004D6AD7" w:rsidRPr="00001F8D" w:rsidRDefault="004D6AD7" w:rsidP="004D6AD7">
            <w:pPr>
              <w:jc w:val="both"/>
              <w:rPr>
                <w:rFonts w:cs="Arial"/>
                <w:sz w:val="24"/>
                <w:szCs w:val="24"/>
              </w:rPr>
            </w:pPr>
          </w:p>
          <w:p w14:paraId="19808B45" w14:textId="77777777" w:rsidR="004D6AD7" w:rsidRPr="00001F8D" w:rsidRDefault="004D6AD7" w:rsidP="004D6AD7">
            <w:pPr>
              <w:jc w:val="both"/>
              <w:rPr>
                <w:rFonts w:cs="Arial"/>
                <w:sz w:val="24"/>
                <w:szCs w:val="24"/>
              </w:rPr>
            </w:pPr>
            <w:r w:rsidRPr="00001F8D">
              <w:rPr>
                <w:rFonts w:cs="Arial"/>
                <w:sz w:val="24"/>
                <w:szCs w:val="24"/>
              </w:rPr>
              <w:t xml:space="preserve">Teniendo en cuenta el estudio técnico que soporta el proyecto de Decreto mediante el cual se crea entre otras la planta de personal de la Superintendencia Delegada para Curadores Urbanos, se determinaron la cantidad de cargos y perfiles necesarios para adelantar las funciones de inspección, vigilancia y control asignadas por ley.  </w:t>
            </w:r>
          </w:p>
          <w:p w14:paraId="736B88F1" w14:textId="77777777" w:rsidR="004D6AD7" w:rsidRPr="00001F8D" w:rsidRDefault="004D6AD7" w:rsidP="004D6AD7">
            <w:pPr>
              <w:jc w:val="both"/>
              <w:rPr>
                <w:rFonts w:cs="Arial"/>
                <w:sz w:val="24"/>
                <w:szCs w:val="24"/>
              </w:rPr>
            </w:pPr>
          </w:p>
          <w:p w14:paraId="7F716C33" w14:textId="77777777" w:rsidR="004D6AD7" w:rsidRDefault="004D6AD7" w:rsidP="004D6AD7">
            <w:pPr>
              <w:keepNext/>
              <w:keepLines/>
              <w:spacing w:before="40"/>
              <w:jc w:val="both"/>
              <w:outlineLvl w:val="1"/>
              <w:rPr>
                <w:rFonts w:cs="Arial"/>
                <w:b/>
                <w:sz w:val="24"/>
                <w:szCs w:val="24"/>
              </w:rPr>
            </w:pPr>
            <w:bookmarkStart w:id="3" w:name="_Toc128408263"/>
            <w:r w:rsidRPr="00001F8D">
              <w:rPr>
                <w:rFonts w:cs="Arial"/>
                <w:b/>
                <w:sz w:val="24"/>
                <w:szCs w:val="24"/>
              </w:rPr>
              <w:t xml:space="preserve">Infraestructura física, insumos y </w:t>
            </w:r>
            <w:bookmarkEnd w:id="3"/>
            <w:r w:rsidRPr="00001F8D">
              <w:rPr>
                <w:rFonts w:cs="Arial"/>
                <w:b/>
                <w:sz w:val="24"/>
                <w:szCs w:val="24"/>
              </w:rPr>
              <w:t>servicios</w:t>
            </w:r>
          </w:p>
          <w:p w14:paraId="3D50DB09" w14:textId="77777777" w:rsidR="004D6AD7" w:rsidRPr="00001F8D" w:rsidRDefault="004D6AD7" w:rsidP="004D6AD7">
            <w:pPr>
              <w:keepNext/>
              <w:keepLines/>
              <w:spacing w:before="40"/>
              <w:jc w:val="both"/>
              <w:outlineLvl w:val="1"/>
              <w:rPr>
                <w:rFonts w:cs="Arial"/>
                <w:b/>
                <w:sz w:val="24"/>
                <w:szCs w:val="24"/>
              </w:rPr>
            </w:pPr>
          </w:p>
          <w:p w14:paraId="61EFC182" w14:textId="77777777" w:rsidR="004D6AD7" w:rsidRPr="00001F8D" w:rsidRDefault="004D6AD7" w:rsidP="004D6AD7">
            <w:pPr>
              <w:jc w:val="both"/>
              <w:rPr>
                <w:rFonts w:cs="Arial"/>
                <w:sz w:val="24"/>
                <w:szCs w:val="24"/>
              </w:rPr>
            </w:pPr>
            <w:r w:rsidRPr="00001F8D">
              <w:rPr>
                <w:rFonts w:cs="Arial"/>
                <w:sz w:val="24"/>
                <w:szCs w:val="24"/>
              </w:rPr>
              <w:t xml:space="preserve">Para el funcionamiento administrativo de la Superintendencia Delegada para Curadores Urbanos, se estima que se requieren las siguientes variables que son asociadas a los gastos: </w:t>
            </w:r>
          </w:p>
          <w:p w14:paraId="45DF7EE1" w14:textId="77777777" w:rsidR="004D6AD7" w:rsidRPr="00001F8D" w:rsidRDefault="004D6AD7" w:rsidP="004D6AD7">
            <w:pPr>
              <w:jc w:val="both"/>
              <w:rPr>
                <w:rFonts w:cs="Arial"/>
                <w:sz w:val="24"/>
                <w:szCs w:val="24"/>
              </w:rPr>
            </w:pPr>
          </w:p>
          <w:p w14:paraId="2A1351BC" w14:textId="77777777" w:rsidR="004D6AD7" w:rsidRPr="00001F8D" w:rsidRDefault="004D6AD7" w:rsidP="004D6AD7">
            <w:pPr>
              <w:numPr>
                <w:ilvl w:val="0"/>
                <w:numId w:val="35"/>
              </w:numPr>
              <w:jc w:val="both"/>
              <w:rPr>
                <w:rFonts w:cs="Arial"/>
                <w:sz w:val="24"/>
                <w:szCs w:val="24"/>
              </w:rPr>
            </w:pPr>
            <w:r w:rsidRPr="00001F8D">
              <w:rPr>
                <w:rFonts w:cs="Arial"/>
                <w:sz w:val="24"/>
                <w:szCs w:val="24"/>
              </w:rPr>
              <w:t>Insumos (Papelería</w:t>
            </w:r>
            <w:r>
              <w:rPr>
                <w:rFonts w:cs="Arial"/>
                <w:sz w:val="24"/>
                <w:szCs w:val="24"/>
              </w:rPr>
              <w:t>,</w:t>
            </w:r>
            <w:r w:rsidRPr="00001F8D">
              <w:rPr>
                <w:rFonts w:cs="Arial"/>
                <w:sz w:val="24"/>
                <w:szCs w:val="24"/>
              </w:rPr>
              <w:t xml:space="preserve"> lápices, bolígrafos, papel etc. y consumibles de impresión)</w:t>
            </w:r>
          </w:p>
          <w:p w14:paraId="42336486" w14:textId="77777777" w:rsidR="004D6AD7" w:rsidRPr="00001F8D" w:rsidRDefault="004D6AD7" w:rsidP="004D6AD7">
            <w:pPr>
              <w:numPr>
                <w:ilvl w:val="0"/>
                <w:numId w:val="35"/>
              </w:numPr>
              <w:jc w:val="both"/>
              <w:rPr>
                <w:rFonts w:cs="Arial"/>
                <w:sz w:val="24"/>
                <w:szCs w:val="24"/>
              </w:rPr>
            </w:pPr>
            <w:r w:rsidRPr="00001F8D">
              <w:rPr>
                <w:rFonts w:cs="Arial"/>
                <w:sz w:val="24"/>
                <w:szCs w:val="24"/>
              </w:rPr>
              <w:t xml:space="preserve">Instalaciones físicas y mobiliario </w:t>
            </w:r>
          </w:p>
          <w:p w14:paraId="48A4509B" w14:textId="77777777" w:rsidR="004D6AD7" w:rsidRPr="00001F8D" w:rsidRDefault="004D6AD7" w:rsidP="004D6AD7">
            <w:pPr>
              <w:numPr>
                <w:ilvl w:val="0"/>
                <w:numId w:val="35"/>
              </w:numPr>
              <w:jc w:val="both"/>
              <w:rPr>
                <w:rFonts w:cs="Arial"/>
                <w:sz w:val="24"/>
                <w:szCs w:val="24"/>
              </w:rPr>
            </w:pPr>
            <w:r w:rsidRPr="00001F8D">
              <w:rPr>
                <w:rFonts w:cs="Arial"/>
                <w:sz w:val="24"/>
                <w:szCs w:val="24"/>
              </w:rPr>
              <w:t xml:space="preserve">Servicios públicos </w:t>
            </w:r>
          </w:p>
          <w:p w14:paraId="62B521AC" w14:textId="77777777" w:rsidR="004D6AD7" w:rsidRPr="00001F8D" w:rsidRDefault="004D6AD7" w:rsidP="004D6AD7">
            <w:pPr>
              <w:numPr>
                <w:ilvl w:val="0"/>
                <w:numId w:val="35"/>
              </w:numPr>
              <w:jc w:val="both"/>
              <w:rPr>
                <w:rFonts w:cs="Arial"/>
                <w:sz w:val="24"/>
                <w:szCs w:val="24"/>
              </w:rPr>
            </w:pPr>
            <w:r w:rsidRPr="00001F8D">
              <w:rPr>
                <w:rFonts w:cs="Arial"/>
                <w:sz w:val="24"/>
                <w:szCs w:val="24"/>
              </w:rPr>
              <w:t>Servicio de vigilancia, aseo y cafetería</w:t>
            </w:r>
          </w:p>
          <w:p w14:paraId="59D9BBBE" w14:textId="77777777" w:rsidR="004D6AD7" w:rsidRPr="00001F8D" w:rsidRDefault="004D6AD7" w:rsidP="004D6AD7">
            <w:pPr>
              <w:jc w:val="both"/>
              <w:rPr>
                <w:rFonts w:cs="Arial"/>
                <w:sz w:val="24"/>
                <w:szCs w:val="24"/>
              </w:rPr>
            </w:pPr>
          </w:p>
          <w:p w14:paraId="11045652" w14:textId="77777777" w:rsidR="004D6AD7" w:rsidRPr="00001F8D" w:rsidRDefault="004D6AD7" w:rsidP="004D6AD7">
            <w:pPr>
              <w:keepNext/>
              <w:keepLines/>
              <w:spacing w:before="40"/>
              <w:jc w:val="both"/>
              <w:outlineLvl w:val="1"/>
              <w:rPr>
                <w:rFonts w:cs="Arial"/>
                <w:b/>
                <w:sz w:val="24"/>
                <w:szCs w:val="24"/>
              </w:rPr>
            </w:pPr>
            <w:bookmarkStart w:id="4" w:name="_Toc128408264"/>
            <w:r w:rsidRPr="00001F8D">
              <w:rPr>
                <w:rFonts w:cs="Arial"/>
                <w:b/>
                <w:sz w:val="24"/>
                <w:szCs w:val="24"/>
              </w:rPr>
              <w:t>Infraestructura y desarrollos tecnológic</w:t>
            </w:r>
            <w:bookmarkEnd w:id="4"/>
            <w:r w:rsidRPr="00001F8D">
              <w:rPr>
                <w:rFonts w:cs="Arial"/>
                <w:b/>
                <w:sz w:val="24"/>
                <w:szCs w:val="24"/>
              </w:rPr>
              <w:t>os</w:t>
            </w:r>
          </w:p>
          <w:p w14:paraId="6E7049A6" w14:textId="77777777" w:rsidR="004D6AD7" w:rsidRPr="00001F8D" w:rsidRDefault="004D6AD7" w:rsidP="004D6AD7">
            <w:pPr>
              <w:keepNext/>
              <w:keepLines/>
              <w:spacing w:before="240"/>
              <w:jc w:val="both"/>
              <w:outlineLvl w:val="0"/>
              <w:rPr>
                <w:rFonts w:cs="Arial"/>
                <w:b/>
                <w:sz w:val="24"/>
                <w:szCs w:val="24"/>
              </w:rPr>
            </w:pPr>
            <w:r w:rsidRPr="00001F8D">
              <w:rPr>
                <w:rFonts w:cs="Arial"/>
                <w:sz w:val="24"/>
                <w:szCs w:val="24"/>
              </w:rPr>
              <w:t xml:space="preserve">La Delegada para Curadores Urbanos requiere para el adecuado cumplimiento de sus funciones hacer uso de los aplicativos y módulos del Sistema Integrado de Servicios y Gestión – SISG, a través de los cuales se realizan todos los trámites administrativos y propios de su naturaleza de IVC, adicionalmente, es necesario el uso de equipos de cómputo con sus periféricos, escáneres, impresoras, conectividad y demás elementos </w:t>
            </w:r>
            <w:bookmarkStart w:id="5" w:name="_Toc128408265"/>
            <w:r w:rsidRPr="00001F8D">
              <w:rPr>
                <w:rFonts w:cs="Arial"/>
                <w:sz w:val="24"/>
                <w:szCs w:val="24"/>
              </w:rPr>
              <w:t>tecnológicos.</w:t>
            </w:r>
            <w:r w:rsidRPr="00001F8D">
              <w:rPr>
                <w:rFonts w:cs="Arial"/>
                <w:b/>
                <w:sz w:val="24"/>
                <w:szCs w:val="24"/>
              </w:rPr>
              <w:t xml:space="preserve"> </w:t>
            </w:r>
          </w:p>
          <w:p w14:paraId="64C6588B" w14:textId="77777777" w:rsidR="004D6AD7" w:rsidRPr="00001F8D" w:rsidRDefault="004D6AD7" w:rsidP="004D6AD7">
            <w:pPr>
              <w:keepNext/>
              <w:keepLines/>
              <w:spacing w:before="240"/>
              <w:jc w:val="both"/>
              <w:outlineLvl w:val="0"/>
              <w:rPr>
                <w:rFonts w:cs="Arial"/>
                <w:b/>
                <w:sz w:val="24"/>
                <w:szCs w:val="24"/>
              </w:rPr>
            </w:pPr>
            <w:r w:rsidRPr="00001F8D">
              <w:rPr>
                <w:rFonts w:cs="Arial"/>
                <w:b/>
                <w:sz w:val="24"/>
                <w:szCs w:val="24"/>
              </w:rPr>
              <w:t>Gastos variables</w:t>
            </w:r>
            <w:bookmarkEnd w:id="5"/>
            <w:r w:rsidRPr="00001F8D">
              <w:rPr>
                <w:rFonts w:cs="Arial"/>
                <w:b/>
                <w:sz w:val="24"/>
                <w:szCs w:val="24"/>
              </w:rPr>
              <w:t xml:space="preserve"> </w:t>
            </w:r>
            <w:bookmarkStart w:id="6" w:name="_Toc128408266"/>
          </w:p>
          <w:p w14:paraId="283FB46C" w14:textId="77777777" w:rsidR="004D6AD7" w:rsidRPr="00001F8D" w:rsidRDefault="004D6AD7" w:rsidP="004D6AD7">
            <w:pPr>
              <w:keepNext/>
              <w:keepLines/>
              <w:spacing w:before="40"/>
              <w:jc w:val="both"/>
              <w:outlineLvl w:val="1"/>
              <w:rPr>
                <w:rFonts w:cs="Arial"/>
                <w:b/>
                <w:sz w:val="24"/>
                <w:szCs w:val="24"/>
              </w:rPr>
            </w:pPr>
            <w:r w:rsidRPr="00001F8D">
              <w:rPr>
                <w:rFonts w:cs="Arial"/>
                <w:b/>
                <w:sz w:val="24"/>
                <w:szCs w:val="24"/>
              </w:rPr>
              <w:t xml:space="preserve">Viáticos y </w:t>
            </w:r>
            <w:bookmarkEnd w:id="6"/>
            <w:r w:rsidRPr="00001F8D">
              <w:rPr>
                <w:rFonts w:cs="Arial"/>
                <w:b/>
                <w:sz w:val="24"/>
                <w:szCs w:val="24"/>
              </w:rPr>
              <w:t>gastos de desplazamiento</w:t>
            </w:r>
          </w:p>
          <w:p w14:paraId="2EF96A9A" w14:textId="77777777" w:rsidR="004D6AD7" w:rsidRPr="00001F8D" w:rsidRDefault="004D6AD7" w:rsidP="004D6AD7">
            <w:pPr>
              <w:jc w:val="both"/>
              <w:rPr>
                <w:rFonts w:cs="Arial"/>
                <w:sz w:val="24"/>
                <w:szCs w:val="24"/>
              </w:rPr>
            </w:pPr>
          </w:p>
          <w:p w14:paraId="317B67D8" w14:textId="77777777" w:rsidR="004D6AD7" w:rsidRPr="00001F8D" w:rsidRDefault="004D6AD7" w:rsidP="004D6AD7">
            <w:pPr>
              <w:jc w:val="both"/>
              <w:rPr>
                <w:rFonts w:cs="Arial"/>
                <w:sz w:val="24"/>
                <w:szCs w:val="24"/>
              </w:rPr>
            </w:pPr>
            <w:r w:rsidRPr="00001F8D">
              <w:rPr>
                <w:rFonts w:cs="Arial"/>
                <w:sz w:val="24"/>
                <w:szCs w:val="24"/>
              </w:rPr>
              <w:t xml:space="preserve">Como parte fundamental del ejercicio de inspección, vigilancia y control a los curadores urbanos, la entidad debe practicar visitas generales, especiales y/o de seguimiento para la verificación de la adecuada prestación del servicio o indagar la presunta comisión de faltas u omisiones por parte de los curadores urbanos. </w:t>
            </w:r>
          </w:p>
          <w:p w14:paraId="664B9166" w14:textId="77777777" w:rsidR="004D6AD7" w:rsidRPr="00001F8D" w:rsidRDefault="004D6AD7" w:rsidP="004D6AD7">
            <w:pPr>
              <w:jc w:val="both"/>
              <w:rPr>
                <w:rFonts w:cs="Arial"/>
                <w:sz w:val="24"/>
                <w:szCs w:val="24"/>
              </w:rPr>
            </w:pPr>
          </w:p>
          <w:p w14:paraId="7C15DE47" w14:textId="77777777" w:rsidR="004D6AD7" w:rsidRPr="00001F8D" w:rsidRDefault="004D6AD7" w:rsidP="004D6AD7">
            <w:pPr>
              <w:jc w:val="both"/>
              <w:rPr>
                <w:rFonts w:cs="Arial"/>
                <w:sz w:val="24"/>
                <w:szCs w:val="24"/>
              </w:rPr>
            </w:pPr>
            <w:r w:rsidRPr="00001F8D">
              <w:rPr>
                <w:rFonts w:cs="Arial"/>
                <w:sz w:val="24"/>
                <w:szCs w:val="24"/>
              </w:rPr>
              <w:t xml:space="preserve">De acuerdo con lo anterior, anualmente la dependencia realiza un ejercicio de planeación dirigido a determinar la cantidad de visitas a desarrollar, la modalidad, el tipo (general/especial/seguimiento), las ciudades, comisionados, aspectos a auditar, entre otros. </w:t>
            </w:r>
          </w:p>
          <w:p w14:paraId="6DFD3D08" w14:textId="77777777" w:rsidR="004D6AD7" w:rsidRPr="00001F8D" w:rsidRDefault="004D6AD7" w:rsidP="004D6AD7">
            <w:pPr>
              <w:jc w:val="both"/>
              <w:rPr>
                <w:rFonts w:cs="Arial"/>
                <w:sz w:val="24"/>
                <w:szCs w:val="24"/>
              </w:rPr>
            </w:pPr>
          </w:p>
          <w:p w14:paraId="271B43D5" w14:textId="77777777" w:rsidR="004D6AD7" w:rsidRPr="00001F8D" w:rsidRDefault="004D6AD7" w:rsidP="004D6AD7">
            <w:pPr>
              <w:jc w:val="both"/>
              <w:rPr>
                <w:rFonts w:cs="Arial"/>
                <w:sz w:val="24"/>
                <w:szCs w:val="24"/>
              </w:rPr>
            </w:pPr>
            <w:r w:rsidRPr="00001F8D">
              <w:rPr>
                <w:rFonts w:cs="Arial"/>
                <w:sz w:val="24"/>
                <w:szCs w:val="24"/>
              </w:rPr>
              <w:t>Una vez definido esto, para determinar el valor de los viáticos y gastos de desplazamiento se deben tener en consideración los lineamientos internos impartidos por la entidad.</w:t>
            </w:r>
          </w:p>
          <w:p w14:paraId="5C0619D2" w14:textId="77777777" w:rsidR="004D6AD7" w:rsidRPr="00001F8D" w:rsidRDefault="004D6AD7" w:rsidP="004D6AD7">
            <w:pPr>
              <w:jc w:val="both"/>
              <w:rPr>
                <w:rFonts w:cs="Arial"/>
                <w:sz w:val="24"/>
                <w:szCs w:val="24"/>
              </w:rPr>
            </w:pPr>
          </w:p>
          <w:p w14:paraId="71196627" w14:textId="77777777" w:rsidR="004D6AD7" w:rsidRPr="00001F8D" w:rsidRDefault="004D6AD7" w:rsidP="004D6AD7">
            <w:pPr>
              <w:jc w:val="both"/>
              <w:rPr>
                <w:rFonts w:cs="Arial"/>
                <w:sz w:val="24"/>
                <w:szCs w:val="24"/>
              </w:rPr>
            </w:pPr>
            <w:r w:rsidRPr="00001F8D">
              <w:rPr>
                <w:rFonts w:cs="Arial"/>
                <w:sz w:val="24"/>
                <w:szCs w:val="24"/>
              </w:rPr>
              <w:t xml:space="preserve">Finalmente, se deberán tener en cuenta posibles participaciones y asistencias a eventos relacionados con el quehacer de la Delegada de Curadores Urbanos, con el fin de ser incluidos dentro de la proyección de viáticos y gastos de desplazamiento.    </w:t>
            </w:r>
          </w:p>
          <w:p w14:paraId="7670D057" w14:textId="77777777" w:rsidR="004D6AD7" w:rsidRPr="00001F8D" w:rsidRDefault="004D6AD7" w:rsidP="004D6AD7">
            <w:pPr>
              <w:jc w:val="both"/>
              <w:rPr>
                <w:rFonts w:cs="Arial"/>
                <w:sz w:val="24"/>
                <w:szCs w:val="24"/>
              </w:rPr>
            </w:pPr>
          </w:p>
          <w:p w14:paraId="60F58247" w14:textId="77777777" w:rsidR="004D6AD7" w:rsidRPr="00001F8D" w:rsidRDefault="004D6AD7" w:rsidP="004D6AD7">
            <w:pPr>
              <w:keepNext/>
              <w:keepLines/>
              <w:spacing w:before="40"/>
              <w:jc w:val="both"/>
              <w:outlineLvl w:val="1"/>
              <w:rPr>
                <w:rFonts w:cs="Arial"/>
                <w:b/>
                <w:sz w:val="24"/>
                <w:szCs w:val="24"/>
              </w:rPr>
            </w:pPr>
            <w:bookmarkStart w:id="7" w:name="_Toc128408267"/>
            <w:r w:rsidRPr="00001F8D">
              <w:rPr>
                <w:rFonts w:cs="Arial"/>
                <w:b/>
                <w:sz w:val="24"/>
                <w:szCs w:val="24"/>
              </w:rPr>
              <w:t>Concurso público de méritos</w:t>
            </w:r>
            <w:bookmarkEnd w:id="7"/>
            <w:r w:rsidRPr="00001F8D">
              <w:rPr>
                <w:rFonts w:cs="Arial"/>
                <w:b/>
                <w:sz w:val="24"/>
                <w:szCs w:val="24"/>
              </w:rPr>
              <w:t xml:space="preserve"> </w:t>
            </w:r>
          </w:p>
          <w:p w14:paraId="4593D48E" w14:textId="77777777" w:rsidR="004D6AD7" w:rsidRPr="00001F8D" w:rsidRDefault="004D6AD7" w:rsidP="004D6AD7">
            <w:pPr>
              <w:jc w:val="both"/>
              <w:rPr>
                <w:rFonts w:cs="Arial"/>
                <w:sz w:val="24"/>
                <w:szCs w:val="24"/>
              </w:rPr>
            </w:pPr>
          </w:p>
          <w:p w14:paraId="534E219A" w14:textId="77777777" w:rsidR="004D6AD7" w:rsidRPr="00001F8D" w:rsidRDefault="004D6AD7" w:rsidP="004D6AD7">
            <w:pPr>
              <w:jc w:val="both"/>
              <w:rPr>
                <w:rFonts w:cs="Arial"/>
                <w:sz w:val="24"/>
                <w:szCs w:val="24"/>
              </w:rPr>
            </w:pPr>
            <w:r w:rsidRPr="00001F8D">
              <w:rPr>
                <w:rFonts w:cs="Arial"/>
                <w:sz w:val="24"/>
                <w:szCs w:val="24"/>
              </w:rPr>
              <w:t xml:space="preserve">En el artículo 20 de la Ley 1796 de 2016 se indica que la Superintendencia de Notariado y Registro debe “(…) Fijar las directrices del concurso para la designación de curadores urbanos, en cuanto a, entre otros, la forma de acreditar los requisitos, la fecha y el lugar de la realización y el cronograma respectivos”. </w:t>
            </w:r>
          </w:p>
          <w:p w14:paraId="776BFEDD" w14:textId="77777777" w:rsidR="004D6AD7" w:rsidRPr="00001F8D" w:rsidRDefault="004D6AD7" w:rsidP="004D6AD7">
            <w:pPr>
              <w:jc w:val="both"/>
              <w:rPr>
                <w:rFonts w:cs="Arial"/>
                <w:sz w:val="24"/>
                <w:szCs w:val="24"/>
              </w:rPr>
            </w:pPr>
          </w:p>
          <w:p w14:paraId="051D5009" w14:textId="77777777" w:rsidR="004D6AD7" w:rsidRPr="00001F8D" w:rsidRDefault="004D6AD7" w:rsidP="004D6AD7">
            <w:pPr>
              <w:jc w:val="both"/>
              <w:rPr>
                <w:rFonts w:cs="Arial"/>
                <w:sz w:val="24"/>
                <w:szCs w:val="24"/>
              </w:rPr>
            </w:pPr>
            <w:r w:rsidRPr="00001F8D">
              <w:rPr>
                <w:rFonts w:cs="Arial"/>
                <w:sz w:val="24"/>
                <w:szCs w:val="24"/>
              </w:rPr>
              <w:t xml:space="preserve">Así mismo, el artículo 21 de la referida norma establece que el alcalde municipal o distrital designará a los curadores urbanos de conformidad con el resultado del concurso que se adelante para la designación de estos dentro de su jurisdicción; concurso de méritos que será adelantado por el Departamento Administrativo de la Función Pública -DAFP- y en lo que corresponde a la elaboración de las pruebas de conocimiento técnico y específico escritas para ser aplicadas a los aspirantes al concurso de méritos, el DAFP recibirá el apoyo de la Superintendencia de Notariado y Registro. </w:t>
            </w:r>
          </w:p>
          <w:p w14:paraId="5094248A" w14:textId="77777777" w:rsidR="004D6AD7" w:rsidRPr="00001F8D" w:rsidRDefault="004D6AD7" w:rsidP="004D6AD7">
            <w:pPr>
              <w:jc w:val="both"/>
              <w:rPr>
                <w:rFonts w:cs="Arial"/>
                <w:sz w:val="24"/>
                <w:szCs w:val="24"/>
              </w:rPr>
            </w:pPr>
          </w:p>
          <w:p w14:paraId="5E4A8F9B" w14:textId="77777777" w:rsidR="004D6AD7" w:rsidRPr="00001F8D" w:rsidRDefault="004D6AD7" w:rsidP="004D6AD7">
            <w:pPr>
              <w:jc w:val="both"/>
              <w:rPr>
                <w:rFonts w:cs="Arial"/>
                <w:sz w:val="24"/>
                <w:szCs w:val="24"/>
              </w:rPr>
            </w:pPr>
            <w:r w:rsidRPr="00001F8D">
              <w:rPr>
                <w:rFonts w:cs="Arial"/>
                <w:sz w:val="24"/>
                <w:szCs w:val="24"/>
              </w:rPr>
              <w:t xml:space="preserve">A su vez el parágrafo 1 del artículo 21 dispuso que “Los gastos que demande el concurso para la designación de curadores urbanos se hará con cargo al presupuesto de la Superintendencia de Notariado y Registro y al Fondo Cuenta de Curadores”. </w:t>
            </w:r>
          </w:p>
          <w:p w14:paraId="6D742677" w14:textId="77777777" w:rsidR="004D6AD7" w:rsidRPr="00001F8D" w:rsidRDefault="004D6AD7" w:rsidP="004D6AD7">
            <w:pPr>
              <w:jc w:val="both"/>
              <w:rPr>
                <w:rFonts w:cs="Arial"/>
                <w:sz w:val="24"/>
                <w:szCs w:val="24"/>
              </w:rPr>
            </w:pPr>
          </w:p>
          <w:p w14:paraId="1BF4986C" w14:textId="77777777" w:rsidR="004D6AD7" w:rsidRDefault="004D6AD7" w:rsidP="004D6AD7">
            <w:pPr>
              <w:jc w:val="both"/>
              <w:rPr>
                <w:rFonts w:cs="Arial"/>
                <w:sz w:val="24"/>
                <w:szCs w:val="24"/>
              </w:rPr>
            </w:pPr>
            <w:r w:rsidRPr="00001F8D">
              <w:rPr>
                <w:rFonts w:cs="Arial"/>
                <w:sz w:val="24"/>
                <w:szCs w:val="24"/>
              </w:rPr>
              <w:t xml:space="preserve">Ahora bien, conviene precisar que para determinar la necesidad de convocar o no a un concurso de méritos se requiere tener en consideración diferentes aspectos tales como: i) viabilidad de nuevas plazas por parte del Ministerio de Vivienda, Ciudad y Territorio, ii) configuración de faltas absolutas por parte de los curadores urbanos (art. 2.2.6.6.5.3 del Decreto 1077 de 2015), iii) inexistencia de listas de elegibles o que las mismas se encuentren agotadas o que no se encuentren vigentes. Así pues, del análisis de estas variables se establece la cantidad de municipios a convocar y en ese sentido el total de recursos necesarios para su financiamiento. </w:t>
            </w:r>
          </w:p>
          <w:p w14:paraId="11881E03" w14:textId="77777777" w:rsidR="004D6AD7" w:rsidRDefault="004D6AD7" w:rsidP="004D6AD7">
            <w:pPr>
              <w:jc w:val="both"/>
              <w:rPr>
                <w:rFonts w:cs="Arial"/>
                <w:sz w:val="24"/>
                <w:szCs w:val="24"/>
              </w:rPr>
            </w:pPr>
          </w:p>
          <w:p w14:paraId="3D071337" w14:textId="77777777" w:rsidR="005A6B53" w:rsidRPr="005A6B53" w:rsidRDefault="005A6B53" w:rsidP="005A6B53">
            <w:pPr>
              <w:jc w:val="both"/>
              <w:rPr>
                <w:rFonts w:eastAsia="Arial" w:cs="Arial"/>
                <w:b/>
                <w:bCs/>
                <w:sz w:val="24"/>
                <w:szCs w:val="24"/>
                <w:highlight w:val="yellow"/>
              </w:rPr>
            </w:pPr>
            <w:r w:rsidRPr="005A6B53">
              <w:rPr>
                <w:rFonts w:eastAsia="Arial" w:cs="Arial"/>
                <w:b/>
                <w:bCs/>
                <w:sz w:val="24"/>
                <w:szCs w:val="24"/>
              </w:rPr>
              <w:t xml:space="preserve">B. Beneficios directos e indirectos. </w:t>
            </w:r>
            <w:r w:rsidRPr="005A6B53">
              <w:rPr>
                <w:rFonts w:eastAsia="Arial" w:cs="Arial"/>
                <w:sz w:val="24"/>
                <w:szCs w:val="24"/>
              </w:rPr>
              <w:t xml:space="preserve">Los beneficios derivados de las funciones de inspección, vigilancia y control son de carácter permanente para los curadores urbanos y los usuarios de la función, se estiman los siguientes: </w:t>
            </w:r>
          </w:p>
          <w:p w14:paraId="5378F561" w14:textId="77777777" w:rsidR="005A6B53" w:rsidRPr="005A6B53" w:rsidRDefault="005A6B53" w:rsidP="005A6B53">
            <w:pPr>
              <w:jc w:val="both"/>
              <w:rPr>
                <w:rFonts w:eastAsia="Arial" w:cs="Arial"/>
                <w:sz w:val="24"/>
                <w:szCs w:val="24"/>
              </w:rPr>
            </w:pPr>
          </w:p>
          <w:p w14:paraId="626A6041" w14:textId="77777777" w:rsidR="005A6B53" w:rsidRPr="005A6B53" w:rsidRDefault="005A6B53" w:rsidP="004E3E3E">
            <w:pPr>
              <w:pStyle w:val="Prrafodelista"/>
              <w:numPr>
                <w:ilvl w:val="0"/>
                <w:numId w:val="35"/>
              </w:numPr>
              <w:contextualSpacing/>
              <w:jc w:val="both"/>
              <w:rPr>
                <w:rFonts w:eastAsia="Arial" w:cs="Arial"/>
                <w:b/>
                <w:bCs/>
                <w:sz w:val="24"/>
                <w:szCs w:val="24"/>
              </w:rPr>
            </w:pPr>
            <w:r w:rsidRPr="005A6B53">
              <w:rPr>
                <w:rFonts w:eastAsia="Arial" w:cs="Arial"/>
                <w:b/>
                <w:bCs/>
                <w:sz w:val="24"/>
                <w:szCs w:val="24"/>
              </w:rPr>
              <w:t>Protección de sus derechos e intereses:</w:t>
            </w:r>
          </w:p>
          <w:p w14:paraId="25FB8B89" w14:textId="77777777" w:rsidR="005A6B53" w:rsidRPr="005A6B53" w:rsidRDefault="005A6B53" w:rsidP="005A6B53">
            <w:pPr>
              <w:jc w:val="both"/>
              <w:rPr>
                <w:rFonts w:eastAsia="Arial" w:cs="Arial"/>
                <w:sz w:val="24"/>
                <w:szCs w:val="24"/>
              </w:rPr>
            </w:pPr>
          </w:p>
          <w:p w14:paraId="3E24CC27" w14:textId="77777777" w:rsidR="005A6B53" w:rsidRPr="005A6B53" w:rsidRDefault="005A6B53" w:rsidP="005A6B53">
            <w:pPr>
              <w:jc w:val="both"/>
              <w:rPr>
                <w:rFonts w:eastAsia="Arial" w:cs="Arial"/>
                <w:sz w:val="24"/>
                <w:szCs w:val="24"/>
              </w:rPr>
            </w:pPr>
            <w:r w:rsidRPr="005A6B53">
              <w:rPr>
                <w:rFonts w:eastAsia="Arial" w:cs="Arial"/>
                <w:sz w:val="24"/>
                <w:szCs w:val="24"/>
              </w:rPr>
              <w:t xml:space="preserve">Las funciones de inspección, vigilancia y control buscan asegurar que los curadores urbanos cumplan con las leyes y regulaciones aplicables, lo que protege los derechos e intereses de los particulares que interactúan con estos particulares con funciones públicas. </w:t>
            </w:r>
          </w:p>
          <w:p w14:paraId="24B8D5A7" w14:textId="77777777" w:rsidR="005A6B53" w:rsidRPr="005A6B53" w:rsidRDefault="005A6B53" w:rsidP="005A6B53">
            <w:pPr>
              <w:jc w:val="both"/>
              <w:rPr>
                <w:rFonts w:eastAsia="Arial" w:cs="Arial"/>
                <w:sz w:val="24"/>
                <w:szCs w:val="24"/>
              </w:rPr>
            </w:pPr>
          </w:p>
          <w:p w14:paraId="61E92735" w14:textId="77777777" w:rsidR="005A6B53" w:rsidRPr="005A6B53" w:rsidRDefault="005A6B53" w:rsidP="004E3E3E">
            <w:pPr>
              <w:pStyle w:val="Prrafodelista"/>
              <w:numPr>
                <w:ilvl w:val="0"/>
                <w:numId w:val="35"/>
              </w:numPr>
              <w:contextualSpacing/>
              <w:jc w:val="both"/>
              <w:rPr>
                <w:rFonts w:eastAsia="Arial" w:cs="Arial"/>
                <w:b/>
                <w:bCs/>
                <w:sz w:val="24"/>
                <w:szCs w:val="24"/>
              </w:rPr>
            </w:pPr>
            <w:r w:rsidRPr="005A6B53">
              <w:rPr>
                <w:rFonts w:eastAsia="Arial" w:cs="Arial"/>
                <w:b/>
                <w:bCs/>
                <w:sz w:val="24"/>
                <w:szCs w:val="24"/>
              </w:rPr>
              <w:t>Ambiente de legalidad y transparencia:</w:t>
            </w:r>
          </w:p>
          <w:p w14:paraId="4891F74B" w14:textId="77777777" w:rsidR="005A6B53" w:rsidRPr="005A6B53" w:rsidRDefault="005A6B53" w:rsidP="005A6B53">
            <w:pPr>
              <w:pStyle w:val="Prrafodelista"/>
              <w:jc w:val="both"/>
              <w:rPr>
                <w:rFonts w:eastAsia="Arial" w:cs="Arial"/>
                <w:b/>
                <w:bCs/>
                <w:sz w:val="24"/>
                <w:szCs w:val="24"/>
              </w:rPr>
            </w:pPr>
          </w:p>
          <w:p w14:paraId="22C8C653" w14:textId="77777777" w:rsidR="005A6B53" w:rsidRPr="005A6B53" w:rsidRDefault="005A6B53" w:rsidP="005A6B53">
            <w:pPr>
              <w:jc w:val="both"/>
              <w:rPr>
                <w:rFonts w:eastAsia="Arial" w:cs="Arial"/>
                <w:sz w:val="24"/>
                <w:szCs w:val="24"/>
              </w:rPr>
            </w:pPr>
            <w:r w:rsidRPr="005A6B53">
              <w:rPr>
                <w:rFonts w:eastAsia="Arial" w:cs="Arial"/>
                <w:sz w:val="24"/>
                <w:szCs w:val="24"/>
              </w:rPr>
              <w:t xml:space="preserve">Estas funciones promueven un entorno en el ejercicio de la función pública a cargo de los curadores urbanos asegurando que se realicen de manera transparente y conforme a la ley, lo que genera confianza y seguridad jurídica para los usuarios. </w:t>
            </w:r>
          </w:p>
          <w:p w14:paraId="0B6D1BF9" w14:textId="77777777" w:rsidR="005A6B53" w:rsidRPr="005A6B53" w:rsidRDefault="005A6B53" w:rsidP="005A6B53">
            <w:pPr>
              <w:jc w:val="both"/>
              <w:rPr>
                <w:rFonts w:eastAsia="Arial" w:cs="Arial"/>
                <w:sz w:val="24"/>
                <w:szCs w:val="24"/>
              </w:rPr>
            </w:pPr>
          </w:p>
          <w:p w14:paraId="73D6CD4F" w14:textId="77777777" w:rsidR="005A6B53" w:rsidRPr="005A6B53" w:rsidRDefault="005A6B53" w:rsidP="004E3E3E">
            <w:pPr>
              <w:pStyle w:val="Prrafodelista"/>
              <w:numPr>
                <w:ilvl w:val="0"/>
                <w:numId w:val="35"/>
              </w:numPr>
              <w:contextualSpacing/>
              <w:jc w:val="both"/>
              <w:rPr>
                <w:rFonts w:eastAsia="Arial" w:cs="Arial"/>
                <w:b/>
                <w:bCs/>
                <w:sz w:val="24"/>
                <w:szCs w:val="24"/>
              </w:rPr>
            </w:pPr>
            <w:r w:rsidRPr="005A6B53">
              <w:rPr>
                <w:rFonts w:eastAsia="Arial" w:cs="Arial"/>
                <w:b/>
                <w:bCs/>
                <w:sz w:val="24"/>
                <w:szCs w:val="24"/>
              </w:rPr>
              <w:t>Mejora en la calidad de la función pública:</w:t>
            </w:r>
          </w:p>
          <w:p w14:paraId="128F5633" w14:textId="77777777" w:rsidR="005A6B53" w:rsidRPr="005A6B53" w:rsidRDefault="005A6B53" w:rsidP="005A6B53">
            <w:pPr>
              <w:jc w:val="both"/>
              <w:rPr>
                <w:rFonts w:eastAsia="Arial" w:cs="Arial"/>
                <w:b/>
                <w:bCs/>
                <w:sz w:val="24"/>
                <w:szCs w:val="24"/>
              </w:rPr>
            </w:pPr>
          </w:p>
          <w:p w14:paraId="1FEA97CE" w14:textId="77777777" w:rsidR="005A6B53" w:rsidRPr="005A6B53" w:rsidRDefault="005A6B53" w:rsidP="005A6B53">
            <w:pPr>
              <w:jc w:val="both"/>
              <w:rPr>
                <w:rFonts w:eastAsia="Arial" w:cs="Arial"/>
                <w:sz w:val="24"/>
                <w:szCs w:val="24"/>
              </w:rPr>
            </w:pPr>
            <w:r w:rsidRPr="005A6B53">
              <w:rPr>
                <w:rFonts w:eastAsia="Arial" w:cs="Arial"/>
                <w:sz w:val="24"/>
                <w:szCs w:val="24"/>
              </w:rPr>
              <w:t>Al garantizar el cumplimiento normativo, se fomenta la mejora en la calidad de la función pública que cumplen los curadores urbanos, lo que beneficia directamente al particular como usuario del servicio.</w:t>
            </w:r>
          </w:p>
          <w:p w14:paraId="05CE72EF" w14:textId="77777777" w:rsidR="005A6B53" w:rsidRPr="005A6B53" w:rsidRDefault="005A6B53" w:rsidP="005A6B53">
            <w:pPr>
              <w:jc w:val="both"/>
              <w:rPr>
                <w:rFonts w:eastAsia="Arial" w:cs="Arial"/>
                <w:sz w:val="24"/>
                <w:szCs w:val="24"/>
              </w:rPr>
            </w:pPr>
          </w:p>
          <w:p w14:paraId="5C1BFE09" w14:textId="77777777" w:rsidR="005A6B53" w:rsidRPr="005A6B53" w:rsidRDefault="005A6B53" w:rsidP="004E3E3E">
            <w:pPr>
              <w:pStyle w:val="Prrafodelista"/>
              <w:numPr>
                <w:ilvl w:val="0"/>
                <w:numId w:val="35"/>
              </w:numPr>
              <w:contextualSpacing/>
              <w:jc w:val="both"/>
              <w:rPr>
                <w:rFonts w:eastAsia="Arial" w:cs="Arial"/>
                <w:b/>
                <w:bCs/>
                <w:sz w:val="24"/>
                <w:szCs w:val="24"/>
              </w:rPr>
            </w:pPr>
            <w:r w:rsidRPr="005A6B53">
              <w:rPr>
                <w:rFonts w:eastAsia="Arial" w:cs="Arial"/>
                <w:b/>
                <w:bCs/>
                <w:sz w:val="24"/>
                <w:szCs w:val="24"/>
              </w:rPr>
              <w:t>Prevención de abusos y malas prácticas:</w:t>
            </w:r>
          </w:p>
          <w:p w14:paraId="38ED767D" w14:textId="77777777" w:rsidR="005A6B53" w:rsidRPr="005A6B53" w:rsidRDefault="005A6B53" w:rsidP="005A6B53">
            <w:pPr>
              <w:jc w:val="both"/>
              <w:rPr>
                <w:rFonts w:eastAsia="Arial" w:cs="Arial"/>
                <w:sz w:val="24"/>
                <w:szCs w:val="24"/>
              </w:rPr>
            </w:pPr>
          </w:p>
          <w:p w14:paraId="08E75D60" w14:textId="77777777" w:rsidR="005A6B53" w:rsidRPr="005A6B53" w:rsidRDefault="005A6B53" w:rsidP="005A6B53">
            <w:pPr>
              <w:jc w:val="both"/>
              <w:rPr>
                <w:rFonts w:eastAsia="Arial" w:cs="Arial"/>
                <w:sz w:val="24"/>
                <w:szCs w:val="24"/>
              </w:rPr>
            </w:pPr>
            <w:r w:rsidRPr="005A6B53">
              <w:rPr>
                <w:rFonts w:eastAsia="Arial" w:cs="Arial"/>
                <w:sz w:val="24"/>
                <w:szCs w:val="24"/>
              </w:rPr>
              <w:t>Las funciones de inspección, vigilancia y control ayudan a prevenir abusos, irregularidades y malas prácticas por parte de los curadores urbanos, lo que protege al particular de posibles perjuicios.</w:t>
            </w:r>
          </w:p>
          <w:p w14:paraId="2EF5D5B0" w14:textId="77777777" w:rsidR="005A6B53" w:rsidRPr="005A6B53" w:rsidRDefault="005A6B53" w:rsidP="005A6B53">
            <w:pPr>
              <w:jc w:val="both"/>
              <w:rPr>
                <w:rFonts w:eastAsia="Arial" w:cs="Arial"/>
                <w:sz w:val="24"/>
                <w:szCs w:val="24"/>
              </w:rPr>
            </w:pPr>
          </w:p>
          <w:p w14:paraId="2813820D" w14:textId="77777777" w:rsidR="005A6B53" w:rsidRPr="005A6B53" w:rsidRDefault="005A6B53" w:rsidP="004E3E3E">
            <w:pPr>
              <w:pStyle w:val="Prrafodelista"/>
              <w:numPr>
                <w:ilvl w:val="0"/>
                <w:numId w:val="35"/>
              </w:numPr>
              <w:contextualSpacing/>
              <w:jc w:val="both"/>
              <w:rPr>
                <w:rFonts w:eastAsia="Arial" w:cs="Arial"/>
                <w:b/>
                <w:bCs/>
                <w:sz w:val="24"/>
                <w:szCs w:val="24"/>
              </w:rPr>
            </w:pPr>
            <w:r w:rsidRPr="005A6B53">
              <w:rPr>
                <w:rFonts w:eastAsia="Arial" w:cs="Arial"/>
                <w:b/>
                <w:bCs/>
                <w:sz w:val="24"/>
                <w:szCs w:val="24"/>
              </w:rPr>
              <w:t>Acceso a mecanismos de defensa:</w:t>
            </w:r>
          </w:p>
          <w:p w14:paraId="0F7100A5" w14:textId="77777777" w:rsidR="005A6B53" w:rsidRPr="005A6B53" w:rsidRDefault="005A6B53" w:rsidP="005A6B53">
            <w:pPr>
              <w:jc w:val="both"/>
              <w:rPr>
                <w:rFonts w:eastAsia="Arial" w:cs="Arial"/>
                <w:sz w:val="24"/>
                <w:szCs w:val="24"/>
              </w:rPr>
            </w:pPr>
          </w:p>
          <w:p w14:paraId="7D327E33" w14:textId="77777777" w:rsidR="005A6B53" w:rsidRPr="005A6B53" w:rsidRDefault="005A6B53" w:rsidP="005A6B53">
            <w:pPr>
              <w:jc w:val="both"/>
              <w:rPr>
                <w:rFonts w:eastAsia="Arial" w:cs="Arial"/>
                <w:sz w:val="24"/>
                <w:szCs w:val="24"/>
                <w:highlight w:val="yellow"/>
              </w:rPr>
            </w:pPr>
            <w:r w:rsidRPr="005A6B53">
              <w:rPr>
                <w:rFonts w:eastAsia="Arial" w:cs="Arial"/>
                <w:sz w:val="24"/>
                <w:szCs w:val="24"/>
              </w:rPr>
              <w:t>Si un particular considera que sus derechos han sido vulnerados por parte del curador urbano, puede acceder a los mecanismos de defensa y protección establecidos por la ley para denunciar la situación y buscar una solución.</w:t>
            </w:r>
          </w:p>
          <w:p w14:paraId="15205694" w14:textId="77777777" w:rsidR="005A6B53" w:rsidRPr="005A6B53" w:rsidRDefault="005A6B53" w:rsidP="005A6B53">
            <w:pPr>
              <w:jc w:val="both"/>
              <w:rPr>
                <w:rFonts w:eastAsia="Arial" w:cs="Arial"/>
                <w:sz w:val="24"/>
                <w:szCs w:val="24"/>
              </w:rPr>
            </w:pPr>
          </w:p>
          <w:p w14:paraId="53E79D26" w14:textId="42CCA2F4" w:rsidR="002D1B57" w:rsidRPr="005A6B53" w:rsidRDefault="005A6B53" w:rsidP="005A6B53">
            <w:pPr>
              <w:jc w:val="both"/>
              <w:rPr>
                <w:rFonts w:cs="Arial"/>
                <w:color w:val="000000"/>
                <w:sz w:val="24"/>
                <w:szCs w:val="24"/>
              </w:rPr>
            </w:pPr>
            <w:r w:rsidRPr="005A6B53">
              <w:rPr>
                <w:rFonts w:eastAsia="Arial" w:cs="Arial"/>
                <w:b/>
                <w:bCs/>
                <w:sz w:val="24"/>
                <w:szCs w:val="24"/>
              </w:rPr>
              <w:t>C. Distribución.</w:t>
            </w:r>
            <w:r w:rsidRPr="005A6B53">
              <w:rPr>
                <w:rFonts w:eastAsia="Arial" w:cs="Arial"/>
                <w:sz w:val="24"/>
                <w:szCs w:val="24"/>
              </w:rPr>
              <w:t xml:space="preserve"> Al considerarse que los beneficios favorecen a todos los vigilados y usuarios del servicio, su distribución será igual para todos.</w:t>
            </w:r>
          </w:p>
          <w:p w14:paraId="10384AAC" w14:textId="77777777" w:rsidR="00001F8D" w:rsidRPr="00001F8D" w:rsidRDefault="00001F8D" w:rsidP="00BA5758">
            <w:pPr>
              <w:jc w:val="both"/>
              <w:rPr>
                <w:rFonts w:eastAsia="Arial" w:cs="Arial"/>
                <w:color w:val="000000"/>
                <w:sz w:val="24"/>
                <w:szCs w:val="24"/>
              </w:rPr>
            </w:pPr>
          </w:p>
          <w:p w14:paraId="5A955C1C" w14:textId="77777777" w:rsidR="00001F8D" w:rsidRPr="00001F8D" w:rsidRDefault="00001F8D" w:rsidP="00BA5758">
            <w:pPr>
              <w:pStyle w:val="Prrafodelista"/>
              <w:ind w:left="0"/>
              <w:jc w:val="both"/>
              <w:rPr>
                <w:rFonts w:eastAsia="Arial" w:cs="Arial"/>
                <w:b/>
                <w:color w:val="000000"/>
                <w:sz w:val="24"/>
                <w:szCs w:val="24"/>
                <w:u w:val="single"/>
              </w:rPr>
            </w:pPr>
            <w:r w:rsidRPr="00001F8D">
              <w:rPr>
                <w:rFonts w:eastAsia="Arial" w:cs="Arial"/>
                <w:b/>
                <w:color w:val="000000"/>
                <w:sz w:val="24"/>
                <w:szCs w:val="24"/>
                <w:u w:val="single"/>
              </w:rPr>
              <w:t xml:space="preserve">Método: </w:t>
            </w:r>
          </w:p>
          <w:p w14:paraId="2EFB7DC8" w14:textId="77777777" w:rsidR="00001F8D" w:rsidRPr="00001F8D" w:rsidRDefault="00001F8D" w:rsidP="00BA5758">
            <w:pPr>
              <w:jc w:val="both"/>
              <w:rPr>
                <w:rFonts w:eastAsia="Arial" w:cs="Arial"/>
                <w:b/>
                <w:i/>
                <w:color w:val="000000"/>
                <w:sz w:val="24"/>
                <w:szCs w:val="24"/>
                <w:u w:val="single"/>
              </w:rPr>
            </w:pPr>
          </w:p>
          <w:p w14:paraId="011532CF" w14:textId="77777777" w:rsidR="00001F8D" w:rsidRPr="00001F8D" w:rsidRDefault="00001F8D" w:rsidP="00BA5758">
            <w:pPr>
              <w:spacing w:after="160" w:line="259" w:lineRule="auto"/>
              <w:contextualSpacing/>
              <w:jc w:val="both"/>
              <w:rPr>
                <w:rFonts w:eastAsia="Calibri" w:cs="Arial"/>
                <w:color w:val="000000"/>
                <w:sz w:val="24"/>
                <w:szCs w:val="24"/>
                <w:lang w:val="es-CO" w:eastAsia="en-US"/>
              </w:rPr>
            </w:pPr>
            <w:r w:rsidRPr="00001F8D">
              <w:rPr>
                <w:rFonts w:eastAsia="Calibri" w:cs="Arial"/>
                <w:color w:val="000000"/>
                <w:sz w:val="24"/>
                <w:szCs w:val="24"/>
                <w:lang w:val="es-CO" w:eastAsia="en-US"/>
              </w:rPr>
              <w:t xml:space="preserve">Entiéndase como </w:t>
            </w:r>
            <w:r w:rsidRPr="00001F8D">
              <w:rPr>
                <w:rFonts w:eastAsia="Calibri" w:cs="Arial"/>
                <w:b/>
                <w:bCs/>
                <w:i/>
                <w:iCs/>
                <w:color w:val="000000"/>
                <w:sz w:val="24"/>
                <w:szCs w:val="24"/>
                <w:u w:val="single"/>
                <w:lang w:val="es-CO" w:eastAsia="en-US"/>
              </w:rPr>
              <w:t>método</w:t>
            </w:r>
            <w:r w:rsidRPr="00001F8D">
              <w:rPr>
                <w:rFonts w:eastAsia="Calibri" w:cs="Arial"/>
                <w:color w:val="000000"/>
                <w:sz w:val="24"/>
                <w:szCs w:val="24"/>
                <w:lang w:val="es-CO" w:eastAsia="en-US"/>
              </w:rPr>
              <w:t>, los pasos o pautas que deben observarse para que los componentes del sistema se proyecten extrínsecamente. Así, constituye el procedimiento a seguir con el objeto de determinar en concreto el monto de la obligación tributaria</w:t>
            </w:r>
            <w:r w:rsidRPr="00001F8D">
              <w:rPr>
                <w:rFonts w:eastAsia="Calibri" w:cs="Arial"/>
                <w:color w:val="000000"/>
                <w:sz w:val="24"/>
                <w:szCs w:val="24"/>
                <w:vertAlign w:val="superscript"/>
                <w:lang w:val="es-CO" w:eastAsia="en-US"/>
              </w:rPr>
              <w:footnoteReference w:id="5"/>
            </w:r>
            <w:r w:rsidRPr="00001F8D">
              <w:rPr>
                <w:rFonts w:eastAsia="Calibri" w:cs="Arial"/>
                <w:color w:val="000000"/>
                <w:sz w:val="24"/>
                <w:szCs w:val="24"/>
                <w:lang w:val="es-CO" w:eastAsia="en-US"/>
              </w:rPr>
              <w:t>.</w:t>
            </w:r>
          </w:p>
          <w:p w14:paraId="254AD7D0" w14:textId="77777777" w:rsidR="00001F8D" w:rsidRPr="00001F8D" w:rsidRDefault="00001F8D" w:rsidP="00BA5758">
            <w:pPr>
              <w:spacing w:after="160" w:line="259" w:lineRule="auto"/>
              <w:contextualSpacing/>
              <w:jc w:val="both"/>
              <w:rPr>
                <w:rFonts w:eastAsia="Calibri" w:cs="Arial"/>
                <w:color w:val="000000"/>
                <w:sz w:val="24"/>
                <w:szCs w:val="24"/>
                <w:lang w:val="es-CO" w:eastAsia="en-US"/>
              </w:rPr>
            </w:pPr>
          </w:p>
          <w:p w14:paraId="43460B46" w14:textId="48450725" w:rsidR="00001F8D" w:rsidRPr="00001F8D" w:rsidRDefault="00001F8D" w:rsidP="00BA5758">
            <w:pPr>
              <w:spacing w:after="160" w:line="259" w:lineRule="auto"/>
              <w:contextualSpacing/>
              <w:jc w:val="both"/>
              <w:rPr>
                <w:rFonts w:eastAsia="Calibri" w:cs="Arial"/>
                <w:color w:val="000000"/>
                <w:sz w:val="24"/>
                <w:szCs w:val="24"/>
                <w:lang w:val="es-CO" w:eastAsia="en-US"/>
              </w:rPr>
            </w:pPr>
            <w:r w:rsidRPr="00001F8D">
              <w:rPr>
                <w:rFonts w:eastAsia="Calibri" w:cs="Arial"/>
                <w:color w:val="000000"/>
                <w:sz w:val="24"/>
                <w:szCs w:val="24"/>
                <w:lang w:val="es-CO" w:eastAsia="en-US"/>
              </w:rPr>
              <w:t>En ese sentido, para el presente análisis, el método consiste en:</w:t>
            </w:r>
          </w:p>
          <w:p w14:paraId="712B510F" w14:textId="77777777" w:rsidR="00001F8D" w:rsidRPr="00001F8D" w:rsidRDefault="00001F8D" w:rsidP="00BA5758">
            <w:pPr>
              <w:jc w:val="both"/>
              <w:rPr>
                <w:rFonts w:eastAsia="Arial" w:cs="Arial"/>
                <w:bCs/>
                <w:iCs/>
                <w:color w:val="000000"/>
                <w:sz w:val="24"/>
                <w:szCs w:val="24"/>
                <w:u w:val="single"/>
              </w:rPr>
            </w:pPr>
          </w:p>
          <w:p w14:paraId="0E6BFCE0" w14:textId="77777777" w:rsidR="004E3E3E" w:rsidRPr="004E3E3E" w:rsidRDefault="004E3E3E" w:rsidP="004E3E3E">
            <w:pPr>
              <w:pStyle w:val="Prrafodelista"/>
              <w:numPr>
                <w:ilvl w:val="0"/>
                <w:numId w:val="35"/>
              </w:numPr>
              <w:autoSpaceDE w:val="0"/>
              <w:autoSpaceDN w:val="0"/>
              <w:adjustRightInd w:val="0"/>
              <w:contextualSpacing/>
              <w:jc w:val="both"/>
              <w:rPr>
                <w:rFonts w:eastAsia="Arial" w:cs="Arial"/>
                <w:sz w:val="24"/>
                <w:szCs w:val="24"/>
                <w:lang w:val="es-CO"/>
              </w:rPr>
            </w:pPr>
            <w:r w:rsidRPr="004E3E3E">
              <w:rPr>
                <w:rFonts w:eastAsia="Arial" w:cs="Arial"/>
                <w:sz w:val="24"/>
                <w:szCs w:val="24"/>
                <w:lang w:val="es-CO"/>
              </w:rPr>
              <w:t xml:space="preserve">Determinar y analizar los ingresos percibidos por los curadores urbanos, por concepto de expensas, </w:t>
            </w:r>
            <w:r w:rsidRPr="004E3E3E">
              <w:rPr>
                <w:rFonts w:eastAsia="Calibri" w:cs="Arial"/>
                <w:color w:val="000000"/>
                <w:sz w:val="24"/>
                <w:szCs w:val="24"/>
                <w:lang w:val="es-CO" w:eastAsia="es-CO"/>
              </w:rPr>
              <w:t xml:space="preserve">antes de IVA, causados al 31 de diciembre del año inmediatamente anterior. </w:t>
            </w:r>
          </w:p>
          <w:p w14:paraId="5FD0E5AE" w14:textId="3D8B8E34" w:rsidR="004E3E3E" w:rsidRPr="004E3E3E" w:rsidRDefault="004E3E3E" w:rsidP="004E3E3E">
            <w:pPr>
              <w:pStyle w:val="Prrafodelista"/>
              <w:numPr>
                <w:ilvl w:val="0"/>
                <w:numId w:val="35"/>
              </w:numPr>
              <w:autoSpaceDE w:val="0"/>
              <w:autoSpaceDN w:val="0"/>
              <w:adjustRightInd w:val="0"/>
              <w:contextualSpacing/>
              <w:jc w:val="both"/>
              <w:rPr>
                <w:rFonts w:eastAsia="Arial" w:cs="Arial"/>
                <w:sz w:val="24"/>
                <w:szCs w:val="24"/>
                <w:lang w:val="es-CO"/>
              </w:rPr>
            </w:pPr>
            <w:r>
              <w:rPr>
                <w:rFonts w:eastAsia="Calibri" w:cs="Arial"/>
                <w:color w:val="000000"/>
                <w:sz w:val="24"/>
                <w:szCs w:val="24"/>
                <w:lang w:val="es-CO" w:eastAsia="es-CO"/>
              </w:rPr>
              <w:t xml:space="preserve">Determinar </w:t>
            </w:r>
            <w:r w:rsidRPr="004E3E3E">
              <w:rPr>
                <w:rFonts w:eastAsia="Calibri" w:cs="Arial"/>
                <w:color w:val="000000"/>
                <w:sz w:val="24"/>
                <w:szCs w:val="24"/>
                <w:lang w:val="es-CO" w:eastAsia="es-CO"/>
              </w:rPr>
              <w:t xml:space="preserve">los gastos asociados a la sostenibilidad de las funciones a cargo de la </w:t>
            </w:r>
            <w:r w:rsidRPr="004E3E3E">
              <w:rPr>
                <w:rFonts w:eastAsia="Arial" w:cs="Arial"/>
                <w:sz w:val="24"/>
                <w:szCs w:val="24"/>
              </w:rPr>
              <w:t>Superintendencia de Notariado y Registro</w:t>
            </w:r>
            <w:r>
              <w:rPr>
                <w:rFonts w:eastAsia="Calibri" w:cs="Arial"/>
                <w:color w:val="000000"/>
                <w:sz w:val="24"/>
                <w:szCs w:val="24"/>
                <w:lang w:val="es-CO" w:eastAsia="es-CO"/>
              </w:rPr>
              <w:t xml:space="preserve">, con la finalidad de efectuar su relación con </w:t>
            </w:r>
            <w:r w:rsidRPr="004E3E3E">
              <w:rPr>
                <w:rFonts w:eastAsia="Calibri" w:cs="Arial"/>
                <w:color w:val="000000"/>
                <w:sz w:val="24"/>
                <w:szCs w:val="24"/>
                <w:lang w:val="es-CO" w:eastAsia="es-CO"/>
              </w:rPr>
              <w:t xml:space="preserve">los ingresos percibidos por los curadores urbanos </w:t>
            </w:r>
          </w:p>
          <w:p w14:paraId="3248537D" w14:textId="328F01A6" w:rsidR="004E3E3E" w:rsidRPr="00165132" w:rsidRDefault="004E3E3E" w:rsidP="004E3E3E">
            <w:pPr>
              <w:numPr>
                <w:ilvl w:val="0"/>
                <w:numId w:val="35"/>
              </w:numPr>
              <w:spacing w:after="160" w:line="259" w:lineRule="auto"/>
              <w:contextualSpacing/>
              <w:jc w:val="both"/>
              <w:rPr>
                <w:rFonts w:eastAsia="Calibri" w:cs="Arial"/>
                <w:color w:val="000000"/>
                <w:sz w:val="28"/>
                <w:szCs w:val="28"/>
                <w:lang w:val="es-CO" w:eastAsia="en-US"/>
              </w:rPr>
            </w:pPr>
            <w:r w:rsidRPr="004E3E3E">
              <w:rPr>
                <w:rFonts w:eastAsia="Calibri" w:cs="Arial"/>
                <w:color w:val="000000"/>
                <w:sz w:val="24"/>
                <w:szCs w:val="24"/>
                <w:lang w:val="es-CO" w:eastAsia="es-CO"/>
              </w:rPr>
              <w:t>Aplica</w:t>
            </w:r>
            <w:r>
              <w:rPr>
                <w:rFonts w:eastAsia="Calibri" w:cs="Arial"/>
                <w:color w:val="000000"/>
                <w:sz w:val="24"/>
                <w:szCs w:val="24"/>
                <w:lang w:val="es-CO" w:eastAsia="es-CO"/>
              </w:rPr>
              <w:t xml:space="preserve">r </w:t>
            </w:r>
            <w:r w:rsidRPr="004E3E3E">
              <w:rPr>
                <w:rFonts w:eastAsia="Calibri" w:cs="Arial"/>
                <w:color w:val="000000"/>
                <w:sz w:val="24"/>
                <w:szCs w:val="24"/>
                <w:lang w:val="es-CO" w:eastAsia="es-CO"/>
              </w:rPr>
              <w:t xml:space="preserve">la fórmula para la determinación del porcentaje de la </w:t>
            </w:r>
            <w:r w:rsidR="007B02F2">
              <w:rPr>
                <w:rFonts w:eastAsia="Calibri" w:cs="Arial"/>
                <w:color w:val="000000"/>
                <w:sz w:val="24"/>
                <w:szCs w:val="24"/>
                <w:lang w:val="es-CO" w:eastAsia="es-CO"/>
              </w:rPr>
              <w:t>t</w:t>
            </w:r>
            <w:r w:rsidRPr="004E3E3E">
              <w:rPr>
                <w:rFonts w:eastAsia="Calibri" w:cs="Arial"/>
                <w:color w:val="000000"/>
                <w:sz w:val="24"/>
                <w:szCs w:val="24"/>
                <w:lang w:val="es-CO" w:eastAsia="es-CO"/>
              </w:rPr>
              <w:t>asa especial de vigilancia, de acuerdo con la siguiente ecuación</w:t>
            </w:r>
            <w:r>
              <w:rPr>
                <w:rFonts w:eastAsia="Calibri" w:cs="Arial"/>
                <w:color w:val="000000"/>
                <w:sz w:val="24"/>
                <w:szCs w:val="24"/>
                <w:lang w:val="es-CO" w:eastAsia="es-CO"/>
              </w:rPr>
              <w:t xml:space="preserve">: </w:t>
            </w:r>
          </w:p>
          <w:p w14:paraId="3DA41083" w14:textId="77777777" w:rsidR="00165132" w:rsidRDefault="00165132" w:rsidP="00165132">
            <w:pPr>
              <w:spacing w:after="160" w:line="259" w:lineRule="auto"/>
              <w:contextualSpacing/>
              <w:jc w:val="both"/>
              <w:rPr>
                <w:rFonts w:eastAsia="Calibri" w:cs="Arial"/>
                <w:color w:val="000000"/>
                <w:sz w:val="24"/>
                <w:szCs w:val="24"/>
                <w:lang w:val="es-CO" w:eastAsia="es-CO"/>
              </w:rPr>
            </w:pPr>
          </w:p>
          <w:p w14:paraId="7B098D6D" w14:textId="3883940C" w:rsidR="00165132" w:rsidRDefault="00165132" w:rsidP="00165132">
            <w:pPr>
              <w:spacing w:after="160" w:line="259" w:lineRule="auto"/>
              <w:contextualSpacing/>
              <w:jc w:val="both"/>
              <w:rPr>
                <w:rFonts w:eastAsia="Calibri" w:cs="Arial"/>
                <w:color w:val="000000"/>
                <w:sz w:val="28"/>
                <w:szCs w:val="28"/>
                <w:lang w:val="es-CO" w:eastAsia="en-US"/>
              </w:rPr>
            </w:pPr>
            <w:r w:rsidRPr="00161FFD">
              <w:rPr>
                <w:rFonts w:eastAsia="Arial" w:cs="Arial"/>
                <w:b/>
                <w:bCs/>
                <w:noProof/>
                <w:sz w:val="22"/>
                <w:szCs w:val="22"/>
                <w:lang w:val="es-CO" w:eastAsia="es-CO"/>
              </w:rPr>
              <w:drawing>
                <wp:inline distT="0" distB="0" distL="0" distR="0" wp14:anchorId="2AD3572B" wp14:editId="08C3D90D">
                  <wp:extent cx="3423513" cy="639472"/>
                  <wp:effectExtent l="0" t="0" r="5715" b="8255"/>
                  <wp:docPr id="8483900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390013" name=""/>
                          <pic:cNvPicPr/>
                        </pic:nvPicPr>
                        <pic:blipFill>
                          <a:blip r:embed="rId11"/>
                          <a:stretch>
                            <a:fillRect/>
                          </a:stretch>
                        </pic:blipFill>
                        <pic:spPr>
                          <a:xfrm>
                            <a:off x="0" y="0"/>
                            <a:ext cx="3442582" cy="643034"/>
                          </a:xfrm>
                          <a:prstGeom prst="rect">
                            <a:avLst/>
                          </a:prstGeom>
                        </pic:spPr>
                      </pic:pic>
                    </a:graphicData>
                  </a:graphic>
                </wp:inline>
              </w:drawing>
            </w:r>
          </w:p>
          <w:p w14:paraId="53DBFC89" w14:textId="77777777" w:rsidR="0049301B" w:rsidRDefault="0049301B" w:rsidP="00165132">
            <w:pPr>
              <w:spacing w:after="160" w:line="259" w:lineRule="auto"/>
              <w:contextualSpacing/>
              <w:jc w:val="both"/>
              <w:rPr>
                <w:rFonts w:eastAsia="Calibri" w:cs="Arial"/>
                <w:color w:val="000000"/>
                <w:sz w:val="28"/>
                <w:szCs w:val="28"/>
                <w:lang w:val="es-CO" w:eastAsia="en-US"/>
              </w:rPr>
            </w:pPr>
          </w:p>
          <w:p w14:paraId="7F9E571F" w14:textId="77777777" w:rsidR="0049301B" w:rsidRDefault="0049301B" w:rsidP="00165132">
            <w:pPr>
              <w:spacing w:after="160" w:line="259" w:lineRule="auto"/>
              <w:contextualSpacing/>
              <w:jc w:val="both"/>
              <w:rPr>
                <w:rFonts w:eastAsia="Calibri" w:cs="Arial"/>
                <w:color w:val="000000"/>
                <w:sz w:val="28"/>
                <w:szCs w:val="28"/>
                <w:lang w:val="es-CO" w:eastAsia="en-US"/>
              </w:rPr>
            </w:pPr>
          </w:p>
          <w:p w14:paraId="1058E22E" w14:textId="77777777" w:rsidR="0049301B" w:rsidRPr="0049301B" w:rsidRDefault="0049301B" w:rsidP="0049301B">
            <w:pPr>
              <w:rPr>
                <w:rFonts w:eastAsia="Arial" w:cs="Arial"/>
                <w:sz w:val="24"/>
                <w:szCs w:val="24"/>
                <w:lang w:val="es-CO"/>
              </w:rPr>
            </w:pPr>
            <w:r w:rsidRPr="0049301B">
              <w:rPr>
                <w:rFonts w:ascii="Cambria Math" w:eastAsia="Arial" w:hAnsi="Cambria Math" w:cs="Cambria Math"/>
                <w:b/>
                <w:bCs/>
                <w:sz w:val="24"/>
                <w:szCs w:val="24"/>
                <w:lang w:val="es-CO"/>
              </w:rPr>
              <w:t>𝑇𝐴</w:t>
            </w:r>
            <w:r w:rsidRPr="0049301B">
              <w:rPr>
                <w:rFonts w:eastAsia="Arial" w:cs="Arial"/>
                <w:sz w:val="24"/>
                <w:szCs w:val="24"/>
                <w:lang w:val="es-CO"/>
              </w:rPr>
              <w:t xml:space="preserve">: Tasa Curadores Urbanos  </w:t>
            </w:r>
          </w:p>
          <w:p w14:paraId="3CE9B901" w14:textId="77777777" w:rsidR="0049301B" w:rsidRPr="0049301B" w:rsidRDefault="0049301B" w:rsidP="0049301B">
            <w:pPr>
              <w:jc w:val="center"/>
              <w:rPr>
                <w:rFonts w:eastAsia="Arial" w:cs="Arial"/>
                <w:b/>
                <w:bCs/>
                <w:sz w:val="24"/>
                <w:szCs w:val="24"/>
                <w:lang w:val="es-CO"/>
              </w:rPr>
            </w:pPr>
            <w:r w:rsidRPr="0049301B">
              <w:rPr>
                <w:rFonts w:eastAsia="Arial" w:cs="Arial"/>
                <w:b/>
                <w:bCs/>
                <w:sz w:val="24"/>
                <w:szCs w:val="24"/>
                <w:lang w:val="es-CO"/>
              </w:rPr>
              <w:t xml:space="preserve"> </w:t>
            </w:r>
          </w:p>
          <w:p w14:paraId="6D6B4157" w14:textId="77777777" w:rsidR="0049301B" w:rsidRPr="0049301B" w:rsidRDefault="0049301B" w:rsidP="0049301B">
            <w:pPr>
              <w:rPr>
                <w:rFonts w:eastAsia="Arial" w:cs="Arial"/>
                <w:b/>
                <w:bCs/>
                <w:sz w:val="24"/>
                <w:szCs w:val="24"/>
                <w:lang w:val="es-CO"/>
              </w:rPr>
            </w:pPr>
            <w:r w:rsidRPr="0049301B">
              <w:rPr>
                <w:rFonts w:eastAsia="Arial" w:cs="Arial"/>
                <w:sz w:val="24"/>
                <w:szCs w:val="24"/>
                <w:lang w:val="es-CO"/>
              </w:rPr>
              <w:t>∑</w:t>
            </w:r>
            <w:r w:rsidRPr="0049301B">
              <w:rPr>
                <w:rFonts w:ascii="Cambria Math" w:eastAsia="Arial" w:hAnsi="Cambria Math" w:cs="Cambria Math"/>
                <w:sz w:val="24"/>
                <w:szCs w:val="24"/>
                <w:lang w:val="es-CO"/>
              </w:rPr>
              <w:t>𝐺𝐹</w:t>
            </w:r>
            <w:r w:rsidRPr="0049301B">
              <w:rPr>
                <w:rFonts w:eastAsia="Arial" w:cs="Arial"/>
                <w:sz w:val="24"/>
                <w:szCs w:val="24"/>
                <w:lang w:val="es-CO"/>
              </w:rPr>
              <w:t xml:space="preserve">: Sumatoria de Gastos fijos de Inspección, Vigilancia y Control  </w:t>
            </w:r>
          </w:p>
          <w:p w14:paraId="46B6889D" w14:textId="77777777" w:rsidR="0049301B" w:rsidRPr="0049301B" w:rsidRDefault="0049301B" w:rsidP="0049301B">
            <w:pPr>
              <w:rPr>
                <w:rFonts w:eastAsia="Arial" w:cs="Arial"/>
                <w:sz w:val="24"/>
                <w:szCs w:val="24"/>
                <w:lang w:val="es-CO"/>
              </w:rPr>
            </w:pPr>
            <w:r w:rsidRPr="0049301B">
              <w:rPr>
                <w:rFonts w:eastAsia="Arial" w:cs="Arial"/>
                <w:sz w:val="24"/>
                <w:szCs w:val="24"/>
                <w:lang w:val="es-CO"/>
              </w:rPr>
              <w:t xml:space="preserve"> </w:t>
            </w:r>
          </w:p>
          <w:p w14:paraId="63A3B8FD" w14:textId="77777777" w:rsidR="0049301B" w:rsidRPr="0049301B" w:rsidRDefault="0049301B" w:rsidP="0049301B">
            <w:pPr>
              <w:rPr>
                <w:rFonts w:eastAsia="Arial" w:cs="Arial"/>
                <w:sz w:val="24"/>
                <w:szCs w:val="24"/>
                <w:lang w:val="es-CO"/>
              </w:rPr>
            </w:pPr>
            <w:r w:rsidRPr="0049301B">
              <w:rPr>
                <w:rFonts w:eastAsia="Arial" w:cs="Arial"/>
                <w:b/>
                <w:bCs/>
                <w:sz w:val="24"/>
                <w:szCs w:val="24"/>
                <w:lang w:val="es-CO"/>
              </w:rPr>
              <w:t>∑</w:t>
            </w:r>
            <w:r w:rsidRPr="0049301B">
              <w:rPr>
                <w:rFonts w:ascii="Cambria Math" w:eastAsia="Arial" w:hAnsi="Cambria Math" w:cs="Cambria Math"/>
                <w:b/>
                <w:bCs/>
                <w:sz w:val="24"/>
                <w:szCs w:val="24"/>
                <w:lang w:val="es-CO"/>
              </w:rPr>
              <w:t>𝐺𝑉</w:t>
            </w:r>
            <w:r w:rsidRPr="0049301B">
              <w:rPr>
                <w:rFonts w:eastAsia="Arial" w:cs="Arial"/>
                <w:sz w:val="24"/>
                <w:szCs w:val="24"/>
                <w:lang w:val="es-CO"/>
              </w:rPr>
              <w:t xml:space="preserve">: Sumatoria de Gastos Variables de Inspección, Vigilancia y Control </w:t>
            </w:r>
          </w:p>
          <w:p w14:paraId="1AFCA677" w14:textId="77777777" w:rsidR="0049301B" w:rsidRPr="0049301B" w:rsidRDefault="0049301B" w:rsidP="0049301B">
            <w:pPr>
              <w:rPr>
                <w:rFonts w:eastAsia="Arial" w:cs="Arial"/>
                <w:sz w:val="24"/>
                <w:szCs w:val="24"/>
                <w:lang w:val="es-CO"/>
              </w:rPr>
            </w:pPr>
          </w:p>
          <w:p w14:paraId="698AF3ED" w14:textId="77777777" w:rsidR="0049301B" w:rsidRPr="0049301B" w:rsidRDefault="0049301B" w:rsidP="0049301B">
            <w:pPr>
              <w:rPr>
                <w:rFonts w:eastAsia="Arial" w:cs="Arial"/>
                <w:sz w:val="24"/>
                <w:szCs w:val="24"/>
              </w:rPr>
            </w:pPr>
            <w:r w:rsidRPr="0049301B">
              <w:rPr>
                <w:rFonts w:ascii="Cambria Math" w:eastAsia="Arial" w:hAnsi="Cambria Math" w:cs="Cambria Math"/>
                <w:sz w:val="24"/>
                <w:szCs w:val="24"/>
                <w:lang w:val="es-CO"/>
              </w:rPr>
              <w:t>𝐼𝐹𝐶</w:t>
            </w:r>
            <w:r w:rsidRPr="0049301B">
              <w:rPr>
                <w:rFonts w:eastAsia="Arial" w:cs="Arial"/>
                <w:sz w:val="24"/>
                <w:szCs w:val="24"/>
                <w:lang w:val="es-CO"/>
              </w:rPr>
              <w:t>: Ingresos facturados de los curadores urbanos antes del IVA</w:t>
            </w:r>
          </w:p>
          <w:p w14:paraId="12BCBCFE" w14:textId="77777777" w:rsidR="0049301B" w:rsidRPr="00161FFD" w:rsidRDefault="0049301B" w:rsidP="0049301B">
            <w:pPr>
              <w:jc w:val="both"/>
              <w:rPr>
                <w:rFonts w:eastAsia="Arial" w:cs="Arial"/>
                <w:sz w:val="22"/>
                <w:szCs w:val="22"/>
                <w:highlight w:val="cyan"/>
              </w:rPr>
            </w:pPr>
          </w:p>
          <w:p w14:paraId="31724496" w14:textId="77777777" w:rsidR="00001F8D" w:rsidRPr="00001F8D" w:rsidRDefault="00001F8D" w:rsidP="00BA5758">
            <w:pPr>
              <w:jc w:val="both"/>
              <w:rPr>
                <w:rFonts w:eastAsia="Arial" w:cs="Arial"/>
                <w:sz w:val="24"/>
                <w:szCs w:val="24"/>
              </w:rPr>
            </w:pPr>
            <w:r w:rsidRPr="00001F8D">
              <w:rPr>
                <w:rFonts w:eastAsia="Arial" w:cs="Arial"/>
                <w:sz w:val="24"/>
                <w:szCs w:val="24"/>
              </w:rPr>
              <w:t xml:space="preserve">Teniendo en cuenta lo anterior, los elementos para el cálculo de la tasa están dados por la relación entre los ingresos percibidos por los curadores urbanos antes de IVA por la prestación de la función pública y los gastos de operación de la Delegada para Curadores Urbanos, asociados a la sostenibilidad de las actividades de inspección, vigilancia y control que debe adelantar en el marco de la Ley 1796 de 2016 y la financiación del concurso de méritos. </w:t>
            </w:r>
          </w:p>
          <w:p w14:paraId="07BE08DC" w14:textId="77777777" w:rsidR="00001F8D" w:rsidRPr="00001F8D" w:rsidRDefault="00001F8D" w:rsidP="00BA5758">
            <w:pPr>
              <w:jc w:val="both"/>
              <w:rPr>
                <w:rFonts w:eastAsia="Arial" w:cs="Arial"/>
                <w:sz w:val="24"/>
                <w:szCs w:val="24"/>
              </w:rPr>
            </w:pPr>
          </w:p>
          <w:p w14:paraId="3FF06D10" w14:textId="459CD029" w:rsidR="00CD475F" w:rsidRDefault="00CD475F" w:rsidP="00BA5758">
            <w:pPr>
              <w:jc w:val="both"/>
              <w:rPr>
                <w:rFonts w:cs="Arial"/>
                <w:sz w:val="24"/>
                <w:szCs w:val="24"/>
              </w:rPr>
            </w:pPr>
            <w:r w:rsidRPr="003F097C">
              <w:rPr>
                <w:rFonts w:cs="Arial"/>
                <w:sz w:val="24"/>
                <w:szCs w:val="24"/>
              </w:rPr>
              <w:t>De acuerdo con lo anterior, y toda vez que para la determinación de la tarifa de la tasa especial de vigilancia se deben tener en consideración entre otros, los costos y gastos variables propios de la función de IVC al ejercicio de la función pública de los curadores urbanos, tales como viáticos, gastos de desplazamiento y la financiación del concurso de méritos, no se considera pertinente establecer mediante el presente proyecto de ley un porcentaje de tasa fija, sino que la misma pueda ser determinada por la Superintendencia de Notariado y Registro cuando lo estime necesario de conformidad con el sistema y método con el que se determina el costo y el beneficio</w:t>
            </w:r>
            <w:r w:rsidR="00282C88" w:rsidRPr="003F097C">
              <w:rPr>
                <w:rFonts w:cs="Arial"/>
                <w:sz w:val="24"/>
                <w:szCs w:val="24"/>
              </w:rPr>
              <w:t xml:space="preserve"> en el</w:t>
            </w:r>
            <w:r w:rsidRPr="003F097C">
              <w:rPr>
                <w:rFonts w:cs="Arial"/>
                <w:sz w:val="24"/>
                <w:szCs w:val="24"/>
              </w:rPr>
              <w:t xml:space="preserve"> presente proyecto normativo.</w:t>
            </w:r>
            <w:r>
              <w:rPr>
                <w:rFonts w:cs="Arial"/>
                <w:sz w:val="24"/>
                <w:szCs w:val="24"/>
              </w:rPr>
              <w:t xml:space="preserve">  </w:t>
            </w:r>
          </w:p>
          <w:p w14:paraId="372EF409" w14:textId="77777777" w:rsidR="00CD475F" w:rsidRDefault="00CD475F" w:rsidP="00BA5758">
            <w:pPr>
              <w:jc w:val="both"/>
              <w:rPr>
                <w:rFonts w:cs="Arial"/>
                <w:sz w:val="24"/>
                <w:szCs w:val="24"/>
              </w:rPr>
            </w:pPr>
          </w:p>
          <w:p w14:paraId="7F5E1BCD" w14:textId="77777777" w:rsidR="00001F8D" w:rsidRPr="00001F8D" w:rsidRDefault="00001F8D" w:rsidP="00BA5758">
            <w:pPr>
              <w:jc w:val="both"/>
              <w:rPr>
                <w:rFonts w:eastAsia="Arial" w:cs="Arial"/>
                <w:sz w:val="24"/>
                <w:szCs w:val="24"/>
              </w:rPr>
            </w:pPr>
            <w:r w:rsidRPr="00001F8D">
              <w:rPr>
                <w:rFonts w:eastAsia="Arial" w:cs="Arial"/>
                <w:sz w:val="24"/>
                <w:szCs w:val="24"/>
              </w:rPr>
              <w:t>Esta propuesta introduce entonces una recaudación que garantiza la sostenibilidad de la vigilancia ejercida por la Superintendencia Delegada para Curadores Urbanos, así como también, la realización periódica del concurso de méritos. Es pertinente indicar que esta tarifa no se trasladaría en ningún momento al usuario y es un monto que debe ser cubierto en su totalidad por los curadores urbanos, sobre la base de su ingreso por la prestación de la función pública delegada.</w:t>
            </w:r>
          </w:p>
          <w:p w14:paraId="585D96E2" w14:textId="77777777" w:rsidR="00001F8D" w:rsidRPr="00001F8D" w:rsidRDefault="00001F8D" w:rsidP="00BA5758">
            <w:pPr>
              <w:jc w:val="both"/>
              <w:rPr>
                <w:rFonts w:eastAsia="Arial" w:cs="Arial"/>
                <w:sz w:val="24"/>
                <w:szCs w:val="24"/>
              </w:rPr>
            </w:pPr>
          </w:p>
          <w:p w14:paraId="19724F6B" w14:textId="77777777" w:rsidR="00001F8D" w:rsidRDefault="00001F8D" w:rsidP="00BA5758">
            <w:pPr>
              <w:jc w:val="both"/>
              <w:rPr>
                <w:rFonts w:cs="Arial"/>
                <w:sz w:val="24"/>
                <w:szCs w:val="24"/>
              </w:rPr>
            </w:pPr>
            <w:r w:rsidRPr="00001F8D">
              <w:rPr>
                <w:rFonts w:eastAsia="Arial" w:cs="Arial"/>
                <w:sz w:val="24"/>
                <w:szCs w:val="24"/>
              </w:rPr>
              <w:t>De acuerdo con lo expuesto, l</w:t>
            </w:r>
            <w:r w:rsidRPr="00001F8D">
              <w:rPr>
                <w:rFonts w:cs="Arial"/>
                <w:sz w:val="24"/>
                <w:szCs w:val="24"/>
              </w:rPr>
              <w:t xml:space="preserve">a tasa especial de vigilancia estará entonces destinada a la recuperación de los costos y gastos que demanda el ejercicio de las funciones de inspección, vigilancia y control que cumple la Superintendencia de Notariado y Registro respecto de los curadores urbanos del país, así como la financiación del concurso de méritos, y es la Superintendencia el ente de control como sujeto activo, quien </w:t>
            </w:r>
            <w:r w:rsidRPr="00001F8D">
              <w:rPr>
                <w:rFonts w:cs="Arial"/>
                <w:sz w:val="24"/>
                <w:szCs w:val="24"/>
                <w:shd w:val="clear" w:color="auto" w:fill="FFFFFF"/>
              </w:rPr>
              <w:t>prima facie</w:t>
            </w:r>
            <w:r w:rsidRPr="00001F8D">
              <w:rPr>
                <w:rFonts w:cs="Arial"/>
                <w:sz w:val="24"/>
                <w:szCs w:val="24"/>
              </w:rPr>
              <w:t xml:space="preserve"> resulta beneficiario de esta, puesto que la tasa le permitirá fortalecer su capacidad técnica, financiera, administrativa y operativa.</w:t>
            </w:r>
          </w:p>
          <w:p w14:paraId="41CC0529" w14:textId="77777777" w:rsidR="009772FD" w:rsidRDefault="009772FD" w:rsidP="00BA5758">
            <w:pPr>
              <w:jc w:val="both"/>
              <w:rPr>
                <w:rFonts w:cs="Arial"/>
                <w:sz w:val="24"/>
                <w:szCs w:val="24"/>
              </w:rPr>
            </w:pPr>
          </w:p>
          <w:p w14:paraId="0BA776ED" w14:textId="74BD978F" w:rsidR="00001F8D" w:rsidRPr="00001F8D" w:rsidRDefault="00001F8D" w:rsidP="00BA5758">
            <w:pPr>
              <w:shd w:val="clear" w:color="auto" w:fill="FFFFFF"/>
              <w:spacing w:after="142"/>
              <w:jc w:val="both"/>
              <w:rPr>
                <w:rFonts w:cs="Arial"/>
                <w:sz w:val="24"/>
                <w:szCs w:val="24"/>
              </w:rPr>
            </w:pPr>
            <w:r w:rsidRPr="00001F8D">
              <w:rPr>
                <w:rFonts w:cs="Arial"/>
                <w:sz w:val="24"/>
                <w:szCs w:val="24"/>
              </w:rPr>
              <w:t xml:space="preserve">No obstante, es preciso tener en consideración que las </w:t>
            </w:r>
            <w:r w:rsidRPr="00001F8D">
              <w:rPr>
                <w:rFonts w:cs="Arial"/>
                <w:bCs/>
                <w:sz w:val="24"/>
                <w:szCs w:val="24"/>
              </w:rPr>
              <w:t>tasas</w:t>
            </w:r>
            <w:r w:rsidRPr="00001F8D">
              <w:rPr>
                <w:rFonts w:cs="Arial"/>
                <w:sz w:val="24"/>
                <w:szCs w:val="24"/>
              </w:rPr>
              <w:t xml:space="preserve"> tienen unas características particulares, que las distinguen o diferencian de los impuestos y otras contribuciones, las cuales según la Sentencia No. C-278/19 de la Corte Constitucional, son las siguientes:</w:t>
            </w:r>
          </w:p>
          <w:p w14:paraId="328A1640" w14:textId="77777777" w:rsidR="00001F8D" w:rsidRPr="00001F8D" w:rsidRDefault="00001F8D" w:rsidP="00BA5758">
            <w:pPr>
              <w:shd w:val="clear" w:color="auto" w:fill="FFFFFF"/>
              <w:spacing w:after="142"/>
              <w:ind w:left="708"/>
              <w:jc w:val="both"/>
              <w:rPr>
                <w:rFonts w:cs="Arial"/>
                <w:sz w:val="24"/>
                <w:szCs w:val="24"/>
              </w:rPr>
            </w:pPr>
            <w:r w:rsidRPr="00001F8D">
              <w:rPr>
                <w:rFonts w:cs="Arial"/>
                <w:i/>
                <w:iCs/>
                <w:color w:val="2D2D2D"/>
                <w:sz w:val="24"/>
                <w:szCs w:val="24"/>
                <w:shd w:val="clear" w:color="auto" w:fill="FFFFFF"/>
              </w:rPr>
              <w:t xml:space="preserve">“Se consideran tasas aquellos gravámenes que cumplan las siguientes características: (i) la prestación económica necesariamente tiene que originarse en una imposición legal; (ii) la misma nace como recuperación total o parcial de los costos que le representan al Estado, directa o indirectamente, prestar una actividad, un bien o servicio público; (iii) </w:t>
            </w:r>
            <w:r w:rsidRPr="00001F8D">
              <w:rPr>
                <w:rFonts w:cs="Arial"/>
                <w:b/>
                <w:bCs/>
                <w:i/>
                <w:iCs/>
                <w:color w:val="2D2D2D"/>
                <w:sz w:val="24"/>
                <w:szCs w:val="24"/>
                <w:u w:val="single"/>
                <w:shd w:val="clear" w:color="auto" w:fill="FFFFFF"/>
              </w:rPr>
              <w:t>la retribución pagada por el contribuyente guarda relación directa con los beneficios derivados del bien o servicio ofrecido, así lo reconoce el artículo 338 Superior al disponer que: “La ley [puede] permitir que las autoridades fijen las tarifas de las [tasas] que cobren a los contribuyentes, como recuperación de los costos de los servicios que les presten”</w:t>
            </w:r>
            <w:r w:rsidRPr="00001F8D">
              <w:rPr>
                <w:rFonts w:cs="Arial"/>
                <w:i/>
                <w:iCs/>
                <w:color w:val="2D2D2D"/>
                <w:sz w:val="24"/>
                <w:szCs w:val="24"/>
                <w:shd w:val="clear" w:color="auto" w:fill="FFFFFF"/>
              </w:rPr>
              <w:t>; (iv) los valores que se establezcan como obligación tributaria excluyen la utilidad que se deriva de la utilización de dicho bien o servicio; (v) aun cuando su pago resulta indispensable para garantizar el acceso a actividades de interés público o general, su reconocimiento tan sólo se torna obligatorio a partir de la solicitud del contribuyente, por lo que las tasas indefectiblemente se tornan forzosas a partir de una actuación directa y referida de manera inmediata al obligado; (vi) el pago, por regla general, es proporcional, pero en ciertos casos admite criterios distributivos, como por ejemplo, con las tarifas diferenciales</w:t>
            </w:r>
            <w:r w:rsidRPr="00001F8D">
              <w:rPr>
                <w:rFonts w:cs="Arial"/>
                <w:iCs/>
                <w:color w:val="2D2D2D"/>
                <w:sz w:val="24"/>
                <w:szCs w:val="24"/>
                <w:shd w:val="clear" w:color="auto" w:fill="FFFFFF"/>
              </w:rPr>
              <w:t>. (Negrilla y subrayado fuera de texto)</w:t>
            </w:r>
          </w:p>
          <w:p w14:paraId="768458E8" w14:textId="77777777" w:rsidR="00001F8D" w:rsidRPr="00001F8D" w:rsidRDefault="00001F8D" w:rsidP="00BA5758">
            <w:pPr>
              <w:shd w:val="clear" w:color="auto" w:fill="FFFFFF"/>
              <w:spacing w:after="142"/>
              <w:jc w:val="both"/>
              <w:rPr>
                <w:rFonts w:cs="Arial"/>
                <w:color w:val="000000"/>
                <w:sz w:val="24"/>
                <w:szCs w:val="24"/>
                <w:shd w:val="clear" w:color="auto" w:fill="FFFFFF"/>
              </w:rPr>
            </w:pPr>
            <w:r w:rsidRPr="00001F8D">
              <w:rPr>
                <w:rFonts w:cs="Arial"/>
                <w:sz w:val="24"/>
                <w:szCs w:val="24"/>
              </w:rPr>
              <w:t xml:space="preserve">La tasa especial de vigilancia también </w:t>
            </w:r>
            <w:r w:rsidRPr="00001F8D">
              <w:rPr>
                <w:rFonts w:eastAsia="Arial" w:cs="Arial"/>
                <w:sz w:val="24"/>
                <w:szCs w:val="24"/>
              </w:rPr>
              <w:t xml:space="preserve">conlleva un beneficio para el curador urbano, puesto que la Superintendencia al ejercer las funciones de inspección, vigilancia y control promueve </w:t>
            </w:r>
            <w:r w:rsidRPr="00001F8D">
              <w:rPr>
                <w:rFonts w:cs="Arial"/>
                <w:sz w:val="24"/>
                <w:szCs w:val="24"/>
              </w:rPr>
              <w:t xml:space="preserve">el desarrollo, la estabilidad y consolidación de la figura, al impulsar la legalidad en el ejercicio de la función pública delegada en el curador </w:t>
            </w:r>
            <w:r w:rsidRPr="00001F8D">
              <w:rPr>
                <w:rFonts w:cs="Arial"/>
                <w:color w:val="000000"/>
                <w:sz w:val="24"/>
                <w:szCs w:val="24"/>
                <w:shd w:val="clear" w:color="auto" w:fill="FFFFFF"/>
              </w:rPr>
              <w:t>a través de mecanismos que generen transparencia, confianza y eficiencia.</w:t>
            </w:r>
          </w:p>
          <w:p w14:paraId="4E53BD4F" w14:textId="77777777" w:rsidR="00001F8D" w:rsidRPr="00001F8D" w:rsidRDefault="00001F8D" w:rsidP="00BA5758">
            <w:pPr>
              <w:shd w:val="clear" w:color="auto" w:fill="FFFFFF"/>
              <w:spacing w:after="142"/>
              <w:jc w:val="both"/>
              <w:rPr>
                <w:rFonts w:cs="Arial"/>
                <w:color w:val="000000"/>
                <w:sz w:val="24"/>
                <w:szCs w:val="24"/>
                <w:shd w:val="clear" w:color="auto" w:fill="FFFFFF"/>
              </w:rPr>
            </w:pPr>
            <w:r w:rsidRPr="00001F8D">
              <w:rPr>
                <w:rFonts w:cs="Arial"/>
                <w:color w:val="000000"/>
                <w:sz w:val="24"/>
                <w:szCs w:val="24"/>
                <w:shd w:val="clear" w:color="auto" w:fill="FFFFFF"/>
              </w:rPr>
              <w:t xml:space="preserve">Es preciso recordar que la función principal de una superintendencia estriba en verificar que el sujeto vigilado actúe en el marco jurídico que regula su sector y en ese sentido, al velar por esa sujeción a la ley, la entidad los blinda desde el punto de vista jurídico frente a los riesgos a los que se encuentra expuesto el curador urbano en el ejercicio de sus funciones, por desconocimiento de la ley o su inobservancia.   </w:t>
            </w:r>
          </w:p>
          <w:p w14:paraId="7D925171" w14:textId="77777777" w:rsidR="00001F8D" w:rsidRPr="00001F8D" w:rsidRDefault="00001F8D" w:rsidP="00BA5758">
            <w:pPr>
              <w:shd w:val="clear" w:color="auto" w:fill="FFFFFF"/>
              <w:spacing w:after="142"/>
              <w:jc w:val="both"/>
              <w:rPr>
                <w:rFonts w:cs="Arial"/>
                <w:color w:val="000000"/>
                <w:sz w:val="24"/>
                <w:szCs w:val="24"/>
                <w:shd w:val="clear" w:color="auto" w:fill="FFFFFF"/>
              </w:rPr>
            </w:pPr>
            <w:r w:rsidRPr="00001F8D">
              <w:rPr>
                <w:rFonts w:cs="Arial"/>
                <w:color w:val="000000"/>
                <w:sz w:val="24"/>
                <w:szCs w:val="24"/>
                <w:shd w:val="clear" w:color="auto" w:fill="FFFFFF"/>
              </w:rPr>
              <w:t>Igualmente, el financiamiento que se requiere para el cumplimiento de las funciones asignadas a la Superintendencia, genera otros beneficios para los usuarios y la sociedad en general, así:</w:t>
            </w:r>
          </w:p>
          <w:p w14:paraId="714B62C5" w14:textId="23A30B15" w:rsidR="00001F8D" w:rsidRPr="00001F8D" w:rsidRDefault="00001F8D" w:rsidP="004E3E3E">
            <w:pPr>
              <w:pStyle w:val="Prrafodelista"/>
              <w:numPr>
                <w:ilvl w:val="0"/>
                <w:numId w:val="35"/>
              </w:numPr>
              <w:shd w:val="clear" w:color="auto" w:fill="FFFFFF"/>
              <w:spacing w:after="142" w:line="256" w:lineRule="auto"/>
              <w:contextualSpacing/>
              <w:jc w:val="both"/>
              <w:rPr>
                <w:rFonts w:cs="Arial"/>
                <w:sz w:val="24"/>
                <w:szCs w:val="24"/>
                <w:shd w:val="clear" w:color="auto" w:fill="FFFFFF"/>
              </w:rPr>
            </w:pPr>
            <w:r w:rsidRPr="00001F8D">
              <w:rPr>
                <w:rFonts w:cs="Arial"/>
                <w:sz w:val="24"/>
                <w:szCs w:val="24"/>
                <w:shd w:val="clear" w:color="auto" w:fill="FFFFFF"/>
              </w:rPr>
              <w:t>La p</w:t>
            </w:r>
            <w:r w:rsidRPr="00001F8D">
              <w:rPr>
                <w:rFonts w:cs="Arial"/>
                <w:sz w:val="24"/>
                <w:szCs w:val="24"/>
              </w:rPr>
              <w:t>rotección de los derechos</w:t>
            </w:r>
            <w:r w:rsidR="004D6266">
              <w:rPr>
                <w:rFonts w:cs="Arial"/>
                <w:sz w:val="24"/>
                <w:szCs w:val="24"/>
              </w:rPr>
              <w:t xml:space="preserve"> e intereses</w:t>
            </w:r>
            <w:r w:rsidRPr="00001F8D">
              <w:rPr>
                <w:rFonts w:cs="Arial"/>
                <w:sz w:val="24"/>
                <w:szCs w:val="24"/>
              </w:rPr>
              <w:t xml:space="preserve"> de los usuarios</w:t>
            </w:r>
          </w:p>
          <w:p w14:paraId="7419102E" w14:textId="77777777" w:rsidR="00001F8D" w:rsidRPr="00001F8D" w:rsidRDefault="00001F8D" w:rsidP="004E3E3E">
            <w:pPr>
              <w:pStyle w:val="Prrafodelista"/>
              <w:numPr>
                <w:ilvl w:val="0"/>
                <w:numId w:val="35"/>
              </w:numPr>
              <w:shd w:val="clear" w:color="auto" w:fill="FFFFFF"/>
              <w:spacing w:after="142" w:line="256" w:lineRule="auto"/>
              <w:contextualSpacing/>
              <w:jc w:val="both"/>
              <w:rPr>
                <w:rFonts w:cs="Arial"/>
                <w:sz w:val="24"/>
                <w:szCs w:val="24"/>
                <w:shd w:val="clear" w:color="auto" w:fill="FFFFFF"/>
              </w:rPr>
            </w:pPr>
            <w:r w:rsidRPr="00001F8D">
              <w:rPr>
                <w:rFonts w:cs="Arial"/>
                <w:sz w:val="24"/>
                <w:szCs w:val="24"/>
              </w:rPr>
              <w:t>El mejoramiento de la calidad del servicio que reciben</w:t>
            </w:r>
          </w:p>
          <w:p w14:paraId="008EB538" w14:textId="77777777" w:rsidR="00001F8D" w:rsidRPr="00001F8D" w:rsidRDefault="00001F8D" w:rsidP="004E3E3E">
            <w:pPr>
              <w:pStyle w:val="Prrafodelista"/>
              <w:numPr>
                <w:ilvl w:val="0"/>
                <w:numId w:val="35"/>
              </w:numPr>
              <w:autoSpaceDE w:val="0"/>
              <w:autoSpaceDN w:val="0"/>
              <w:adjustRightInd w:val="0"/>
              <w:contextualSpacing/>
              <w:jc w:val="both"/>
              <w:rPr>
                <w:rFonts w:cs="Arial"/>
                <w:sz w:val="24"/>
                <w:szCs w:val="24"/>
              </w:rPr>
            </w:pPr>
            <w:r w:rsidRPr="00001F8D">
              <w:rPr>
                <w:rFonts w:cs="Arial"/>
                <w:sz w:val="24"/>
                <w:szCs w:val="24"/>
              </w:rPr>
              <w:t>Promover la rigurosidad en la revisión y aprobación de las solicitudes de licenciamiento urbanístico por parte de los curadores urbanos, de tal manera que se cumpla con todos los requerimientos desde el punto de vista jurídico, urbanístico, arquitectónico y estructural, en aras de propender a que las construcciones cumplan con las condiciones de estabilidad necesarias, para mitigar el riesgo o daño a la vida e integridad de las personas y su patrimonio.</w:t>
            </w:r>
          </w:p>
          <w:p w14:paraId="7DCAC63C" w14:textId="77777777" w:rsidR="00001F8D" w:rsidRPr="00001F8D" w:rsidRDefault="00001F8D" w:rsidP="004E3E3E">
            <w:pPr>
              <w:pStyle w:val="Prrafodelista"/>
              <w:numPr>
                <w:ilvl w:val="0"/>
                <w:numId w:val="35"/>
              </w:numPr>
              <w:autoSpaceDE w:val="0"/>
              <w:autoSpaceDN w:val="0"/>
              <w:adjustRightInd w:val="0"/>
              <w:contextualSpacing/>
              <w:jc w:val="both"/>
              <w:rPr>
                <w:rFonts w:cs="Arial"/>
                <w:sz w:val="24"/>
                <w:szCs w:val="24"/>
              </w:rPr>
            </w:pPr>
            <w:r w:rsidRPr="00001F8D">
              <w:rPr>
                <w:rFonts w:cs="Arial"/>
                <w:sz w:val="24"/>
                <w:szCs w:val="24"/>
                <w:shd w:val="clear" w:color="auto" w:fill="FFFFFF"/>
              </w:rPr>
              <w:t>Fomentar que a través del licenciamiento se esté respetando la integridad urbanística del municipio o distrito</w:t>
            </w:r>
          </w:p>
          <w:p w14:paraId="6723E208" w14:textId="77777777" w:rsidR="00001F8D" w:rsidRPr="00001F8D" w:rsidRDefault="00001F8D" w:rsidP="004E3E3E">
            <w:pPr>
              <w:pStyle w:val="Prrafodelista"/>
              <w:numPr>
                <w:ilvl w:val="0"/>
                <w:numId w:val="35"/>
              </w:numPr>
              <w:autoSpaceDE w:val="0"/>
              <w:autoSpaceDN w:val="0"/>
              <w:adjustRightInd w:val="0"/>
              <w:contextualSpacing/>
              <w:jc w:val="both"/>
              <w:rPr>
                <w:rFonts w:cs="Arial"/>
                <w:kern w:val="2"/>
                <w:sz w:val="24"/>
                <w:szCs w:val="24"/>
              </w:rPr>
            </w:pPr>
            <w:r w:rsidRPr="00001F8D">
              <w:rPr>
                <w:rFonts w:cs="Arial"/>
                <w:sz w:val="24"/>
                <w:szCs w:val="24"/>
                <w:shd w:val="clear" w:color="auto" w:fill="FFFFFF"/>
              </w:rPr>
              <w:t xml:space="preserve">Promover la idoneidad y meritocracia en los concursos de méritos que se adelanten para la designación de curadores urbanos.  </w:t>
            </w:r>
          </w:p>
          <w:p w14:paraId="66A34A69" w14:textId="77777777" w:rsidR="00001F8D" w:rsidRDefault="00001F8D" w:rsidP="00BA5758">
            <w:pPr>
              <w:autoSpaceDE w:val="0"/>
              <w:autoSpaceDN w:val="0"/>
              <w:adjustRightInd w:val="0"/>
              <w:jc w:val="both"/>
              <w:rPr>
                <w:rFonts w:cs="Arial"/>
                <w:kern w:val="2"/>
                <w:sz w:val="24"/>
                <w:szCs w:val="24"/>
              </w:rPr>
            </w:pPr>
          </w:p>
          <w:p w14:paraId="09C8EB88" w14:textId="19478420" w:rsidR="00E06C77" w:rsidRPr="003F097C" w:rsidRDefault="00BD28C6" w:rsidP="00BA5758">
            <w:pPr>
              <w:autoSpaceDE w:val="0"/>
              <w:autoSpaceDN w:val="0"/>
              <w:adjustRightInd w:val="0"/>
              <w:jc w:val="both"/>
              <w:rPr>
                <w:rFonts w:cs="Arial"/>
                <w:kern w:val="2"/>
                <w:sz w:val="24"/>
                <w:szCs w:val="24"/>
              </w:rPr>
            </w:pPr>
            <w:r w:rsidRPr="003F097C">
              <w:rPr>
                <w:rFonts w:cs="Arial"/>
                <w:kern w:val="2"/>
                <w:sz w:val="24"/>
                <w:szCs w:val="24"/>
              </w:rPr>
              <w:t>Ahora bien,</w:t>
            </w:r>
            <w:r w:rsidR="008A6111" w:rsidRPr="003F097C">
              <w:rPr>
                <w:rFonts w:cs="Arial"/>
                <w:kern w:val="2"/>
                <w:sz w:val="24"/>
                <w:szCs w:val="24"/>
              </w:rPr>
              <w:t xml:space="preserve"> </w:t>
            </w:r>
            <w:r w:rsidR="00E06C77" w:rsidRPr="003F097C">
              <w:rPr>
                <w:rFonts w:cs="Arial"/>
                <w:kern w:val="2"/>
                <w:sz w:val="24"/>
                <w:szCs w:val="24"/>
              </w:rPr>
              <w:t>es pertinente señalar que esta Superintendencia no advierte la necesidad de crear nuevamente el Fondo Cuenta de Curadores Urbanos</w:t>
            </w:r>
            <w:r w:rsidRPr="003F097C">
              <w:rPr>
                <w:rFonts w:cs="Arial"/>
                <w:kern w:val="2"/>
                <w:sz w:val="24"/>
                <w:szCs w:val="24"/>
              </w:rPr>
              <w:t xml:space="preserve"> (Recurso 26</w:t>
            </w:r>
            <w:r w:rsidR="00D742DF" w:rsidRPr="003F097C">
              <w:rPr>
                <w:rFonts w:cs="Arial"/>
                <w:kern w:val="2"/>
                <w:sz w:val="24"/>
                <w:szCs w:val="24"/>
              </w:rPr>
              <w:t xml:space="preserve"> – Fondos Especiales</w:t>
            </w:r>
            <w:r w:rsidRPr="003F097C">
              <w:rPr>
                <w:rFonts w:cs="Arial"/>
                <w:kern w:val="2"/>
                <w:sz w:val="24"/>
                <w:szCs w:val="24"/>
              </w:rPr>
              <w:t>)</w:t>
            </w:r>
            <w:r w:rsidR="00E06C77" w:rsidRPr="003F097C">
              <w:rPr>
                <w:rFonts w:cs="Arial"/>
                <w:kern w:val="2"/>
                <w:sz w:val="24"/>
                <w:szCs w:val="24"/>
              </w:rPr>
              <w:t>, en razón a las restricciones que se tendrían a nivel presupuestal en el manejo y uso de los recursos recaudados a través de la tasa de vigilancia, teniendo en cuenta que no se podría financiar parte de los gastos de operación de la Delegada de Curadores Urbanos, como lo es la planta de personal</w:t>
            </w:r>
            <w:r w:rsidR="004D66E6" w:rsidRPr="003F097C">
              <w:rPr>
                <w:rFonts w:cs="Arial"/>
                <w:kern w:val="2"/>
                <w:sz w:val="24"/>
                <w:szCs w:val="24"/>
              </w:rPr>
              <w:t>, toda vez que el pago de nómina se realiza con cargo a los recursos propios de funcionamiento de la entidad</w:t>
            </w:r>
            <w:r w:rsidR="00CD7B4D" w:rsidRPr="003F097C">
              <w:rPr>
                <w:rFonts w:cs="Arial"/>
                <w:kern w:val="2"/>
                <w:sz w:val="24"/>
                <w:szCs w:val="24"/>
              </w:rPr>
              <w:t>, es decir, r</w:t>
            </w:r>
            <w:r w:rsidR="004D66E6" w:rsidRPr="003F097C">
              <w:rPr>
                <w:rFonts w:cs="Arial"/>
                <w:kern w:val="2"/>
                <w:sz w:val="24"/>
                <w:szCs w:val="24"/>
              </w:rPr>
              <w:t xml:space="preserve">ecurso 20. </w:t>
            </w:r>
          </w:p>
          <w:p w14:paraId="4A864095" w14:textId="77777777" w:rsidR="004D66E6" w:rsidRPr="003F097C" w:rsidRDefault="004D66E6" w:rsidP="00BA5758">
            <w:pPr>
              <w:autoSpaceDE w:val="0"/>
              <w:autoSpaceDN w:val="0"/>
              <w:adjustRightInd w:val="0"/>
              <w:jc w:val="both"/>
              <w:rPr>
                <w:rFonts w:cs="Arial"/>
                <w:kern w:val="2"/>
                <w:sz w:val="24"/>
                <w:szCs w:val="24"/>
              </w:rPr>
            </w:pPr>
          </w:p>
          <w:p w14:paraId="125D9D1A" w14:textId="6A0A0F4D" w:rsidR="004D66E6" w:rsidRPr="003F097C" w:rsidRDefault="00BD28C6" w:rsidP="00BA5758">
            <w:pPr>
              <w:autoSpaceDE w:val="0"/>
              <w:autoSpaceDN w:val="0"/>
              <w:adjustRightInd w:val="0"/>
              <w:jc w:val="both"/>
              <w:rPr>
                <w:rFonts w:cs="Arial"/>
                <w:kern w:val="2"/>
                <w:sz w:val="24"/>
                <w:szCs w:val="24"/>
              </w:rPr>
            </w:pPr>
            <w:r w:rsidRPr="003F097C">
              <w:rPr>
                <w:rFonts w:cs="Arial"/>
                <w:kern w:val="2"/>
                <w:sz w:val="24"/>
                <w:szCs w:val="24"/>
              </w:rPr>
              <w:t>De acuerdo con lo anterior y</w:t>
            </w:r>
            <w:r w:rsidR="004D66E6" w:rsidRPr="003F097C">
              <w:rPr>
                <w:rFonts w:cs="Arial"/>
                <w:kern w:val="2"/>
                <w:sz w:val="24"/>
                <w:szCs w:val="24"/>
              </w:rPr>
              <w:t xml:space="preserve"> con el ánimo de garantizar el c</w:t>
            </w:r>
            <w:r w:rsidRPr="003F097C">
              <w:rPr>
                <w:rFonts w:cs="Arial"/>
                <w:kern w:val="2"/>
                <w:sz w:val="24"/>
                <w:szCs w:val="24"/>
              </w:rPr>
              <w:t>ontrol, correcto</w:t>
            </w:r>
            <w:r w:rsidR="004D66E6" w:rsidRPr="003F097C">
              <w:rPr>
                <w:rFonts w:cs="Arial"/>
                <w:kern w:val="2"/>
                <w:sz w:val="24"/>
                <w:szCs w:val="24"/>
              </w:rPr>
              <w:t xml:space="preserve"> uso y destinación específica de los recursos recaudados destinados a financiar las funciones de inspección, vigilancia y control a los curadores urbanos y el concurso de méritos, se adelantarán los trámites pertinentes ante el Ministerio de Hacienda y Crédito Público con el fin de generar los rubros que permitan su identificación dentro del Catálogo de Clasificación Presupuestal</w:t>
            </w:r>
            <w:r w:rsidRPr="003F097C">
              <w:rPr>
                <w:rFonts w:cs="Arial"/>
                <w:kern w:val="2"/>
                <w:sz w:val="24"/>
                <w:szCs w:val="24"/>
              </w:rPr>
              <w:t xml:space="preserve">. </w:t>
            </w:r>
          </w:p>
          <w:p w14:paraId="39D4A67B" w14:textId="77777777" w:rsidR="00E06C77" w:rsidRPr="003F097C" w:rsidRDefault="00E06C77" w:rsidP="00BA5758">
            <w:pPr>
              <w:autoSpaceDE w:val="0"/>
              <w:autoSpaceDN w:val="0"/>
              <w:adjustRightInd w:val="0"/>
              <w:jc w:val="both"/>
              <w:rPr>
                <w:rFonts w:cs="Arial"/>
                <w:kern w:val="2"/>
                <w:sz w:val="24"/>
                <w:szCs w:val="24"/>
              </w:rPr>
            </w:pPr>
          </w:p>
          <w:p w14:paraId="05C80383" w14:textId="33FA8ACC" w:rsidR="008A6111" w:rsidRDefault="00BD28C6" w:rsidP="00BA5758">
            <w:pPr>
              <w:autoSpaceDE w:val="0"/>
              <w:autoSpaceDN w:val="0"/>
              <w:adjustRightInd w:val="0"/>
              <w:jc w:val="both"/>
              <w:rPr>
                <w:rFonts w:cs="Arial"/>
                <w:kern w:val="2"/>
                <w:sz w:val="24"/>
                <w:szCs w:val="24"/>
              </w:rPr>
            </w:pPr>
            <w:r w:rsidRPr="003F097C">
              <w:rPr>
                <w:rFonts w:cs="Arial"/>
                <w:kern w:val="2"/>
                <w:sz w:val="24"/>
                <w:szCs w:val="24"/>
              </w:rPr>
              <w:t xml:space="preserve">Finalmente, expuesta la necesidad de no crear el Fondo Cuenta de Curadores Urbanos, se propone dentro del presente proyecto de ley </w:t>
            </w:r>
            <w:r w:rsidR="008A6111" w:rsidRPr="003F097C">
              <w:rPr>
                <w:rFonts w:cs="Arial"/>
                <w:kern w:val="2"/>
                <w:sz w:val="24"/>
                <w:szCs w:val="24"/>
              </w:rPr>
              <w:t>modificar el parágrafo 1 del artículo 21</w:t>
            </w:r>
            <w:r w:rsidR="008C48C2" w:rsidRPr="003F097C">
              <w:rPr>
                <w:rFonts w:cs="Arial"/>
                <w:kern w:val="2"/>
                <w:sz w:val="24"/>
                <w:szCs w:val="24"/>
              </w:rPr>
              <w:t xml:space="preserve"> de la Ley 1796 de 2016</w:t>
            </w:r>
            <w:r w:rsidR="008A6111" w:rsidRPr="003F097C">
              <w:rPr>
                <w:rFonts w:cs="Arial"/>
                <w:kern w:val="2"/>
                <w:sz w:val="24"/>
                <w:szCs w:val="24"/>
              </w:rPr>
              <w:t>, suprimiendo de este la expresión “y al Fondo Cuenta de Curadores”</w:t>
            </w:r>
            <w:r w:rsidRPr="003F097C">
              <w:rPr>
                <w:rFonts w:cs="Arial"/>
                <w:kern w:val="2"/>
                <w:sz w:val="24"/>
                <w:szCs w:val="24"/>
              </w:rPr>
              <w:t>.</w:t>
            </w:r>
            <w:r>
              <w:rPr>
                <w:rFonts w:cs="Arial"/>
                <w:kern w:val="2"/>
                <w:sz w:val="24"/>
                <w:szCs w:val="24"/>
              </w:rPr>
              <w:t xml:space="preserve"> </w:t>
            </w:r>
          </w:p>
          <w:p w14:paraId="368D78BE" w14:textId="77777777" w:rsidR="008A6111" w:rsidRDefault="008A6111" w:rsidP="00BA5758">
            <w:pPr>
              <w:autoSpaceDE w:val="0"/>
              <w:autoSpaceDN w:val="0"/>
              <w:adjustRightInd w:val="0"/>
              <w:jc w:val="both"/>
              <w:rPr>
                <w:rFonts w:cs="Arial"/>
                <w:kern w:val="2"/>
                <w:sz w:val="24"/>
                <w:szCs w:val="24"/>
              </w:rPr>
            </w:pPr>
          </w:p>
          <w:p w14:paraId="216A8180" w14:textId="77777777" w:rsidR="00001F8D" w:rsidRPr="00001F8D" w:rsidRDefault="00001F8D" w:rsidP="004E3E3E">
            <w:pPr>
              <w:pStyle w:val="Prrafodelista"/>
              <w:numPr>
                <w:ilvl w:val="0"/>
                <w:numId w:val="35"/>
              </w:numPr>
              <w:contextualSpacing/>
              <w:jc w:val="both"/>
              <w:rPr>
                <w:rFonts w:eastAsia="Arial" w:cs="Arial"/>
                <w:b/>
                <w:sz w:val="24"/>
                <w:szCs w:val="24"/>
                <w:u w:val="single"/>
              </w:rPr>
            </w:pPr>
            <w:r w:rsidRPr="00001F8D">
              <w:rPr>
                <w:rFonts w:eastAsia="Arial" w:cs="Arial"/>
                <w:b/>
                <w:sz w:val="24"/>
                <w:szCs w:val="24"/>
                <w:u w:val="single"/>
              </w:rPr>
              <w:t>MARCO NORMATIVO</w:t>
            </w:r>
          </w:p>
          <w:p w14:paraId="0DF6DFCC" w14:textId="77777777" w:rsidR="00001F8D" w:rsidRPr="00001F8D" w:rsidRDefault="00001F8D" w:rsidP="00BA5758">
            <w:pPr>
              <w:jc w:val="both"/>
              <w:rPr>
                <w:rFonts w:eastAsia="Arial" w:cs="Arial"/>
                <w:sz w:val="24"/>
                <w:szCs w:val="24"/>
              </w:rPr>
            </w:pPr>
          </w:p>
          <w:p w14:paraId="52F455D9" w14:textId="77777777" w:rsidR="00001F8D" w:rsidRPr="00001F8D" w:rsidRDefault="00001F8D" w:rsidP="00BA5758">
            <w:pPr>
              <w:jc w:val="both"/>
              <w:rPr>
                <w:rFonts w:eastAsia="Arial" w:cs="Arial"/>
                <w:sz w:val="24"/>
                <w:szCs w:val="24"/>
              </w:rPr>
            </w:pPr>
            <w:r w:rsidRPr="00001F8D">
              <w:rPr>
                <w:rFonts w:eastAsia="Arial" w:cs="Arial"/>
                <w:sz w:val="24"/>
                <w:szCs w:val="24"/>
              </w:rPr>
              <w:t xml:space="preserve">A continuación, se relaciona el componente normativo que permite la presentación de la iniciativa al Congreso de la República: </w:t>
            </w:r>
          </w:p>
          <w:p w14:paraId="028E3D47" w14:textId="77777777" w:rsidR="00001F8D" w:rsidRPr="00001F8D" w:rsidRDefault="00001F8D" w:rsidP="00BA5758">
            <w:pPr>
              <w:jc w:val="both"/>
              <w:rPr>
                <w:rFonts w:eastAsia="Arial" w:cs="Arial"/>
                <w:b/>
                <w:sz w:val="24"/>
                <w:szCs w:val="24"/>
              </w:rPr>
            </w:pPr>
          </w:p>
          <w:p w14:paraId="25D17F4C" w14:textId="77777777" w:rsidR="00001F8D" w:rsidRPr="00001F8D" w:rsidRDefault="00001F8D" w:rsidP="00BA5758">
            <w:pPr>
              <w:jc w:val="both"/>
              <w:rPr>
                <w:rFonts w:eastAsia="Arial" w:cs="Arial"/>
                <w:b/>
                <w:sz w:val="24"/>
                <w:szCs w:val="24"/>
              </w:rPr>
            </w:pPr>
            <w:r w:rsidRPr="00001F8D">
              <w:rPr>
                <w:rFonts w:eastAsia="Arial" w:cs="Arial"/>
                <w:b/>
                <w:sz w:val="24"/>
                <w:szCs w:val="24"/>
              </w:rPr>
              <w:t xml:space="preserve">Constitución Política de Colombia  </w:t>
            </w:r>
          </w:p>
          <w:p w14:paraId="710D4A6B" w14:textId="77777777" w:rsidR="00001F8D" w:rsidRPr="00001F8D" w:rsidRDefault="00001F8D" w:rsidP="00BA5758">
            <w:pPr>
              <w:jc w:val="both"/>
              <w:rPr>
                <w:rFonts w:eastAsia="Arial" w:cs="Arial"/>
                <w:b/>
                <w:sz w:val="24"/>
                <w:szCs w:val="24"/>
              </w:rPr>
            </w:pPr>
          </w:p>
          <w:p w14:paraId="25ECEA7A" w14:textId="77777777" w:rsidR="00001F8D" w:rsidRPr="00001F8D" w:rsidRDefault="00001F8D" w:rsidP="00BA5758">
            <w:pPr>
              <w:jc w:val="both"/>
              <w:rPr>
                <w:rFonts w:eastAsia="Arial" w:cs="Arial"/>
                <w:sz w:val="24"/>
                <w:szCs w:val="24"/>
              </w:rPr>
            </w:pPr>
            <w:r w:rsidRPr="00001F8D">
              <w:rPr>
                <w:rFonts w:eastAsia="Arial" w:cs="Arial"/>
                <w:b/>
                <w:sz w:val="24"/>
                <w:szCs w:val="24"/>
              </w:rPr>
              <w:t>Artículo 2:</w:t>
            </w:r>
            <w:r w:rsidRPr="00001F8D">
              <w:rPr>
                <w:rFonts w:eastAsia="Arial" w:cs="Arial"/>
                <w:sz w:val="24"/>
                <w:szCs w:val="24"/>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0CEC0AB0" w14:textId="77777777" w:rsidR="00001F8D" w:rsidRPr="00001F8D" w:rsidRDefault="00001F8D" w:rsidP="00BA5758">
            <w:pPr>
              <w:jc w:val="both"/>
              <w:rPr>
                <w:rFonts w:eastAsia="Arial" w:cs="Arial"/>
                <w:sz w:val="24"/>
                <w:szCs w:val="24"/>
              </w:rPr>
            </w:pPr>
          </w:p>
          <w:p w14:paraId="5662B689" w14:textId="77777777" w:rsidR="00001F8D" w:rsidRPr="00001F8D" w:rsidRDefault="00001F8D" w:rsidP="00BA5758">
            <w:pPr>
              <w:jc w:val="both"/>
              <w:rPr>
                <w:rFonts w:eastAsia="Arial" w:cs="Arial"/>
                <w:sz w:val="24"/>
                <w:szCs w:val="24"/>
              </w:rPr>
            </w:pPr>
            <w:r w:rsidRPr="00001F8D">
              <w:rPr>
                <w:rFonts w:eastAsia="Arial" w:cs="Arial"/>
                <w:sz w:val="24"/>
                <w:szCs w:val="24"/>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2401933E" w14:textId="77777777" w:rsidR="00001F8D" w:rsidRPr="00001F8D" w:rsidRDefault="00001F8D" w:rsidP="00BA5758">
            <w:pPr>
              <w:jc w:val="both"/>
              <w:rPr>
                <w:rFonts w:eastAsia="Arial" w:cs="Arial"/>
                <w:sz w:val="24"/>
                <w:szCs w:val="24"/>
              </w:rPr>
            </w:pPr>
            <w:r w:rsidRPr="00001F8D">
              <w:rPr>
                <w:rFonts w:eastAsia="Arial" w:cs="Arial"/>
                <w:sz w:val="24"/>
                <w:szCs w:val="24"/>
              </w:rPr>
              <w:t xml:space="preserve"> </w:t>
            </w:r>
          </w:p>
          <w:p w14:paraId="6B7A7375" w14:textId="77777777" w:rsidR="00001F8D" w:rsidRPr="00001F8D" w:rsidRDefault="00001F8D" w:rsidP="00BA5758">
            <w:pPr>
              <w:jc w:val="both"/>
              <w:rPr>
                <w:rFonts w:eastAsia="Arial" w:cs="Arial"/>
                <w:sz w:val="24"/>
                <w:szCs w:val="24"/>
              </w:rPr>
            </w:pPr>
            <w:r w:rsidRPr="00001F8D">
              <w:rPr>
                <w:rFonts w:eastAsia="Arial" w:cs="Arial"/>
                <w:b/>
                <w:sz w:val="24"/>
                <w:szCs w:val="24"/>
              </w:rPr>
              <w:t xml:space="preserve">Artículo 51: </w:t>
            </w:r>
            <w:r w:rsidRPr="00001F8D">
              <w:rPr>
                <w:rFonts w:eastAsia="Arial" w:cs="Arial"/>
                <w:sz w:val="24"/>
                <w:szCs w:val="24"/>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53AC49B6" w14:textId="77777777" w:rsidR="00001F8D" w:rsidRPr="00001F8D" w:rsidRDefault="00001F8D" w:rsidP="00BA5758">
            <w:pPr>
              <w:jc w:val="both"/>
              <w:rPr>
                <w:rFonts w:eastAsia="Arial" w:cs="Arial"/>
                <w:sz w:val="24"/>
                <w:szCs w:val="24"/>
              </w:rPr>
            </w:pPr>
            <w:r w:rsidRPr="00001F8D">
              <w:rPr>
                <w:rFonts w:eastAsia="Arial" w:cs="Arial"/>
                <w:sz w:val="24"/>
                <w:szCs w:val="24"/>
              </w:rPr>
              <w:t xml:space="preserve"> </w:t>
            </w:r>
          </w:p>
          <w:p w14:paraId="1394AEDA" w14:textId="77777777" w:rsidR="00001F8D" w:rsidRPr="00001F8D" w:rsidRDefault="00001F8D" w:rsidP="00BA5758">
            <w:pPr>
              <w:jc w:val="both"/>
              <w:rPr>
                <w:rFonts w:eastAsia="Arial" w:cs="Arial"/>
                <w:sz w:val="24"/>
                <w:szCs w:val="24"/>
              </w:rPr>
            </w:pPr>
            <w:r w:rsidRPr="00001F8D">
              <w:rPr>
                <w:rFonts w:eastAsia="Arial" w:cs="Arial"/>
                <w:b/>
                <w:sz w:val="24"/>
                <w:szCs w:val="24"/>
              </w:rPr>
              <w:t>Artículo 58:</w:t>
            </w:r>
            <w:r w:rsidRPr="00001F8D">
              <w:rPr>
                <w:rFonts w:cs="Arial"/>
                <w:sz w:val="24"/>
                <w:szCs w:val="24"/>
              </w:rPr>
              <w:t xml:space="preserve"> </w:t>
            </w:r>
            <w:r w:rsidRPr="00001F8D">
              <w:rPr>
                <w:rFonts w:eastAsia="Arial" w:cs="Arial"/>
                <w:sz w:val="24"/>
                <w:szCs w:val="24"/>
              </w:rPr>
              <w:t xml:space="preserve">Se garantizan la propiedad privada y los demás derechos adquiridos con arreglo a las leyes civiles, los cuales no pueden ser desconocidos ni vulnerados por leyes posteriores. Cuando de la aplicación de una ley expedida por motivos de utilidad pública o interés social, resultaren en conflicto los derechos de los particulares con la necesidad por ella reconocida, el interés privado deberá ceder al interés público o social. </w:t>
            </w:r>
          </w:p>
          <w:p w14:paraId="4A048B9B" w14:textId="77777777" w:rsidR="00001F8D" w:rsidRPr="00001F8D" w:rsidRDefault="00001F8D" w:rsidP="00BA5758">
            <w:pPr>
              <w:jc w:val="both"/>
              <w:rPr>
                <w:rFonts w:eastAsia="Arial" w:cs="Arial"/>
                <w:sz w:val="24"/>
                <w:szCs w:val="24"/>
              </w:rPr>
            </w:pPr>
          </w:p>
          <w:p w14:paraId="2B6C8BCE" w14:textId="77777777" w:rsidR="00001F8D" w:rsidRPr="00001F8D" w:rsidRDefault="00001F8D" w:rsidP="00BA5758">
            <w:pPr>
              <w:jc w:val="both"/>
              <w:rPr>
                <w:rFonts w:cs="Arial"/>
                <w:sz w:val="24"/>
                <w:szCs w:val="24"/>
              </w:rPr>
            </w:pPr>
            <w:r w:rsidRPr="00001F8D">
              <w:rPr>
                <w:rFonts w:cs="Arial"/>
                <w:b/>
                <w:sz w:val="24"/>
                <w:szCs w:val="24"/>
              </w:rPr>
              <w:t>Artículo 83:</w:t>
            </w:r>
            <w:r w:rsidRPr="00001F8D">
              <w:rPr>
                <w:rFonts w:cs="Arial"/>
                <w:sz w:val="24"/>
                <w:szCs w:val="24"/>
              </w:rPr>
              <w:t xml:space="preserve"> Las actuaciones de los particulares y de las autoridades públicas deberán ceñirse a los postulados de la buena fe, la cual se presumirá en todas las gestiones que aquellos adelanten ante éstas.</w:t>
            </w:r>
          </w:p>
          <w:p w14:paraId="7E3C3726" w14:textId="77777777" w:rsidR="00001F8D" w:rsidRPr="00001F8D" w:rsidRDefault="00001F8D" w:rsidP="00BA5758">
            <w:pPr>
              <w:jc w:val="both"/>
              <w:rPr>
                <w:rFonts w:cs="Arial"/>
                <w:sz w:val="24"/>
                <w:szCs w:val="24"/>
              </w:rPr>
            </w:pPr>
          </w:p>
          <w:p w14:paraId="671C9A6C" w14:textId="77777777" w:rsidR="00001F8D" w:rsidRPr="00001F8D" w:rsidRDefault="00001F8D" w:rsidP="00BA5758">
            <w:pPr>
              <w:jc w:val="both"/>
              <w:rPr>
                <w:rFonts w:cs="Arial"/>
                <w:sz w:val="24"/>
                <w:szCs w:val="24"/>
              </w:rPr>
            </w:pPr>
            <w:r w:rsidRPr="00001F8D">
              <w:rPr>
                <w:rFonts w:cs="Arial"/>
                <w:b/>
                <w:sz w:val="24"/>
                <w:szCs w:val="24"/>
              </w:rPr>
              <w:t>Artículo 84:</w:t>
            </w:r>
            <w:r w:rsidRPr="00001F8D">
              <w:rPr>
                <w:rFonts w:cs="Arial"/>
                <w:sz w:val="24"/>
                <w:szCs w:val="24"/>
              </w:rPr>
              <w:t xml:space="preserve"> Cuando un derecho o una actividad hayan sido reglamentados de manera general, las autoridades públicas no podrán establecer ni exigir permisos, licencias o requisitos adicionales para su ejercicio.</w:t>
            </w:r>
          </w:p>
          <w:p w14:paraId="4F5D178C" w14:textId="77777777" w:rsidR="00001F8D" w:rsidRPr="00001F8D" w:rsidRDefault="00001F8D" w:rsidP="00BA5758">
            <w:pPr>
              <w:jc w:val="both"/>
              <w:rPr>
                <w:rFonts w:cs="Arial"/>
                <w:sz w:val="24"/>
                <w:szCs w:val="24"/>
              </w:rPr>
            </w:pPr>
          </w:p>
          <w:p w14:paraId="415D286E" w14:textId="77777777" w:rsidR="00001F8D" w:rsidRPr="00001F8D" w:rsidRDefault="00001F8D" w:rsidP="00BA5758">
            <w:pPr>
              <w:jc w:val="both"/>
              <w:rPr>
                <w:rFonts w:cs="Arial"/>
                <w:sz w:val="24"/>
                <w:szCs w:val="24"/>
              </w:rPr>
            </w:pPr>
            <w:r w:rsidRPr="00001F8D">
              <w:rPr>
                <w:rFonts w:cs="Arial"/>
                <w:b/>
                <w:sz w:val="24"/>
                <w:szCs w:val="24"/>
              </w:rPr>
              <w:t xml:space="preserve">Artículo 95 (numeral 9): </w:t>
            </w:r>
            <w:r w:rsidRPr="00001F8D">
              <w:rPr>
                <w:rFonts w:cs="Arial"/>
                <w:sz w:val="24"/>
                <w:szCs w:val="24"/>
              </w:rPr>
              <w:t>Son deberes de la persona y del ciudadano: (…)</w:t>
            </w:r>
            <w:r w:rsidRPr="00001F8D">
              <w:rPr>
                <w:rFonts w:cs="Arial"/>
                <w:b/>
                <w:sz w:val="24"/>
                <w:szCs w:val="24"/>
              </w:rPr>
              <w:t xml:space="preserve"> </w:t>
            </w:r>
            <w:r w:rsidRPr="00001F8D">
              <w:rPr>
                <w:rFonts w:cs="Arial"/>
                <w:sz w:val="24"/>
                <w:szCs w:val="24"/>
              </w:rPr>
              <w:t>Contribuir al financiamiento de los gastos e inversiones del Estado dentro de conceptos de justicia y equidad.</w:t>
            </w:r>
          </w:p>
          <w:p w14:paraId="2DE4E43F" w14:textId="77777777" w:rsidR="00001F8D" w:rsidRPr="00001F8D" w:rsidRDefault="00001F8D" w:rsidP="00BA5758">
            <w:pPr>
              <w:jc w:val="both"/>
              <w:rPr>
                <w:rFonts w:cs="Arial"/>
                <w:sz w:val="24"/>
                <w:szCs w:val="24"/>
              </w:rPr>
            </w:pPr>
          </w:p>
          <w:p w14:paraId="41150806" w14:textId="77777777" w:rsidR="00001F8D" w:rsidRPr="00001F8D" w:rsidRDefault="00001F8D" w:rsidP="00BA5758">
            <w:pPr>
              <w:jc w:val="both"/>
              <w:rPr>
                <w:rFonts w:cs="Arial"/>
                <w:sz w:val="24"/>
                <w:szCs w:val="24"/>
              </w:rPr>
            </w:pPr>
            <w:r w:rsidRPr="00001F8D">
              <w:rPr>
                <w:rFonts w:cs="Arial"/>
                <w:b/>
                <w:sz w:val="24"/>
                <w:szCs w:val="24"/>
              </w:rPr>
              <w:t xml:space="preserve">Artículo 150 (numeral 12): </w:t>
            </w:r>
            <w:r w:rsidRPr="00001F8D">
              <w:rPr>
                <w:rFonts w:cs="Arial"/>
                <w:sz w:val="24"/>
                <w:szCs w:val="24"/>
              </w:rPr>
              <w:t xml:space="preserve">Corresponde al Congreso hacer las leyes. Por medio de ellas ejerce las siguientes funciones: (…) Establecer contribuciones fiscales y, excepcionalmente, contribuciones parafiscales en los casos y bajo las condiciones que establezca la ley. </w:t>
            </w:r>
          </w:p>
          <w:p w14:paraId="5EE19E6D" w14:textId="77777777" w:rsidR="00001F8D" w:rsidRPr="00001F8D" w:rsidRDefault="00001F8D" w:rsidP="00BA5758">
            <w:pPr>
              <w:jc w:val="both"/>
              <w:rPr>
                <w:rFonts w:cs="Arial"/>
                <w:sz w:val="24"/>
                <w:szCs w:val="24"/>
              </w:rPr>
            </w:pPr>
          </w:p>
          <w:p w14:paraId="1087AA0C" w14:textId="77777777" w:rsidR="00001F8D" w:rsidRPr="00001F8D" w:rsidRDefault="00001F8D" w:rsidP="00BA5758">
            <w:pPr>
              <w:jc w:val="both"/>
              <w:rPr>
                <w:rFonts w:cs="Arial"/>
                <w:sz w:val="24"/>
                <w:szCs w:val="24"/>
              </w:rPr>
            </w:pPr>
            <w:r w:rsidRPr="00001F8D">
              <w:rPr>
                <w:rFonts w:cs="Arial"/>
                <w:b/>
                <w:sz w:val="24"/>
                <w:szCs w:val="24"/>
              </w:rPr>
              <w:t>Artículo 209:</w:t>
            </w:r>
            <w:r w:rsidRPr="00001F8D">
              <w:rPr>
                <w:rFonts w:cs="Arial"/>
                <w:sz w:val="24"/>
                <w:szCs w:val="24"/>
              </w:rPr>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3F9337CC" w14:textId="77777777" w:rsidR="00001F8D" w:rsidRPr="00001F8D" w:rsidRDefault="00001F8D" w:rsidP="00BA5758">
            <w:pPr>
              <w:jc w:val="both"/>
              <w:rPr>
                <w:rFonts w:cs="Arial"/>
                <w:sz w:val="24"/>
                <w:szCs w:val="24"/>
              </w:rPr>
            </w:pPr>
          </w:p>
          <w:p w14:paraId="0DD051BF" w14:textId="77777777" w:rsidR="00001F8D" w:rsidRPr="00001F8D" w:rsidRDefault="00001F8D" w:rsidP="00BA5758">
            <w:pPr>
              <w:jc w:val="both"/>
              <w:rPr>
                <w:rFonts w:cs="Arial"/>
                <w:sz w:val="24"/>
                <w:szCs w:val="24"/>
              </w:rPr>
            </w:pPr>
            <w:r w:rsidRPr="00001F8D">
              <w:rPr>
                <w:rFonts w:cs="Arial"/>
                <w:sz w:val="24"/>
                <w:szCs w:val="24"/>
              </w:rPr>
              <w:t>Las autoridades administrativas deben coordinar sus actuaciones para el adecuado cumplimiento de los fines del Estado. La administración pública, en todos sus órdenes, tendrá un control interno que se ejercerá en los términos que señale la ley.</w:t>
            </w:r>
          </w:p>
          <w:p w14:paraId="0BDCCE8D" w14:textId="77777777" w:rsidR="00001F8D" w:rsidRPr="00001F8D" w:rsidRDefault="00001F8D" w:rsidP="00BA5758">
            <w:pPr>
              <w:jc w:val="both"/>
              <w:rPr>
                <w:rFonts w:cs="Arial"/>
                <w:sz w:val="24"/>
                <w:szCs w:val="24"/>
              </w:rPr>
            </w:pPr>
            <w:r w:rsidRPr="00001F8D">
              <w:rPr>
                <w:rFonts w:cs="Arial"/>
                <w:sz w:val="24"/>
                <w:szCs w:val="24"/>
              </w:rPr>
              <w:t xml:space="preserve"> </w:t>
            </w:r>
          </w:p>
          <w:p w14:paraId="30ECB99C" w14:textId="77777777" w:rsidR="00001F8D" w:rsidRPr="00001F8D" w:rsidRDefault="00001F8D" w:rsidP="00BA5758">
            <w:pPr>
              <w:jc w:val="both"/>
              <w:rPr>
                <w:rFonts w:cs="Arial"/>
                <w:sz w:val="24"/>
                <w:szCs w:val="24"/>
              </w:rPr>
            </w:pPr>
            <w:r w:rsidRPr="00001F8D">
              <w:rPr>
                <w:rFonts w:cs="Arial"/>
                <w:b/>
                <w:sz w:val="24"/>
                <w:szCs w:val="24"/>
              </w:rPr>
              <w:t>Artículo 210:</w:t>
            </w:r>
            <w:r w:rsidRPr="00001F8D">
              <w:rPr>
                <w:rFonts w:cs="Arial"/>
                <w:sz w:val="24"/>
                <w:szCs w:val="24"/>
              </w:rPr>
              <w:t xml:space="preserve"> Las entidades del orden nacional descentralizadas por servicios sólo pueden ser creadas por ley o por autorización de ésta, con fundamento en los principios que orientan la actividad administrativa.</w:t>
            </w:r>
          </w:p>
          <w:p w14:paraId="04996CF8" w14:textId="77777777" w:rsidR="00001F8D" w:rsidRPr="00001F8D" w:rsidRDefault="00001F8D" w:rsidP="00BA5758">
            <w:pPr>
              <w:jc w:val="both"/>
              <w:rPr>
                <w:rFonts w:cs="Arial"/>
                <w:sz w:val="24"/>
                <w:szCs w:val="24"/>
              </w:rPr>
            </w:pPr>
          </w:p>
          <w:p w14:paraId="0CF60AAA" w14:textId="77777777" w:rsidR="00001F8D" w:rsidRPr="00001F8D" w:rsidRDefault="00001F8D" w:rsidP="00BA5758">
            <w:pPr>
              <w:jc w:val="both"/>
              <w:rPr>
                <w:rFonts w:cs="Arial"/>
                <w:sz w:val="24"/>
                <w:szCs w:val="24"/>
              </w:rPr>
            </w:pPr>
            <w:r w:rsidRPr="00001F8D">
              <w:rPr>
                <w:rFonts w:cs="Arial"/>
                <w:sz w:val="24"/>
                <w:szCs w:val="24"/>
              </w:rPr>
              <w:t>Los particulares pueden cumplir funciones administrativas en las condiciones que señale la ley.</w:t>
            </w:r>
          </w:p>
          <w:p w14:paraId="5603C172" w14:textId="77777777" w:rsidR="00001F8D" w:rsidRPr="00001F8D" w:rsidRDefault="00001F8D" w:rsidP="00BA5758">
            <w:pPr>
              <w:jc w:val="both"/>
              <w:rPr>
                <w:rFonts w:cs="Arial"/>
                <w:sz w:val="24"/>
                <w:szCs w:val="24"/>
              </w:rPr>
            </w:pPr>
          </w:p>
          <w:p w14:paraId="69211A43" w14:textId="77777777" w:rsidR="00001F8D" w:rsidRPr="00001F8D" w:rsidRDefault="00001F8D" w:rsidP="00BA5758">
            <w:pPr>
              <w:jc w:val="both"/>
              <w:rPr>
                <w:rFonts w:cs="Arial"/>
                <w:sz w:val="24"/>
                <w:szCs w:val="24"/>
              </w:rPr>
            </w:pPr>
            <w:r w:rsidRPr="00001F8D">
              <w:rPr>
                <w:rFonts w:cs="Arial"/>
                <w:sz w:val="24"/>
                <w:szCs w:val="24"/>
              </w:rPr>
              <w:t xml:space="preserve">La ley establecerá el régimen jurídico de las entidades descentralizadas y la responsabilidad de sus presidentes, directores o gerentes. </w:t>
            </w:r>
          </w:p>
          <w:p w14:paraId="35F9731A" w14:textId="77777777" w:rsidR="00001F8D" w:rsidRPr="00001F8D" w:rsidRDefault="00001F8D" w:rsidP="00BA5758">
            <w:pPr>
              <w:jc w:val="both"/>
              <w:rPr>
                <w:rFonts w:cs="Arial"/>
                <w:sz w:val="24"/>
                <w:szCs w:val="24"/>
              </w:rPr>
            </w:pPr>
            <w:r w:rsidRPr="00001F8D">
              <w:rPr>
                <w:rFonts w:cs="Arial"/>
                <w:sz w:val="24"/>
                <w:szCs w:val="24"/>
              </w:rPr>
              <w:t xml:space="preserve"> </w:t>
            </w:r>
          </w:p>
          <w:p w14:paraId="3DC18277" w14:textId="77777777" w:rsidR="00001F8D" w:rsidRPr="00001F8D" w:rsidRDefault="00001F8D" w:rsidP="00BA5758">
            <w:pPr>
              <w:jc w:val="both"/>
              <w:rPr>
                <w:rFonts w:cs="Arial"/>
                <w:sz w:val="24"/>
                <w:szCs w:val="24"/>
              </w:rPr>
            </w:pPr>
            <w:r w:rsidRPr="00001F8D">
              <w:rPr>
                <w:rFonts w:cs="Arial"/>
                <w:b/>
                <w:sz w:val="24"/>
                <w:szCs w:val="24"/>
              </w:rPr>
              <w:t>Artículo 338</w:t>
            </w:r>
            <w:r w:rsidRPr="00001F8D">
              <w:rPr>
                <w:rFonts w:cs="Arial"/>
                <w:sz w:val="24"/>
                <w:szCs w:val="24"/>
              </w:rPr>
              <w:t xml:space="preserve">: En tiempo de paz, solamente el Congreso, las asambleas departamentales y los concejos distritales y municipales podrán imponer contribuciones fiscales o parafiscales. </w:t>
            </w:r>
          </w:p>
          <w:p w14:paraId="43B6D6C9" w14:textId="77777777" w:rsidR="00001F8D" w:rsidRPr="00001F8D" w:rsidRDefault="00001F8D" w:rsidP="00BA5758">
            <w:pPr>
              <w:jc w:val="both"/>
              <w:rPr>
                <w:rFonts w:cs="Arial"/>
                <w:sz w:val="24"/>
                <w:szCs w:val="24"/>
              </w:rPr>
            </w:pPr>
          </w:p>
          <w:p w14:paraId="585AC8C4" w14:textId="77777777" w:rsidR="00001F8D" w:rsidRPr="00001F8D" w:rsidRDefault="00001F8D" w:rsidP="00BA5758">
            <w:pPr>
              <w:jc w:val="both"/>
              <w:rPr>
                <w:rFonts w:cs="Arial"/>
                <w:sz w:val="24"/>
                <w:szCs w:val="24"/>
              </w:rPr>
            </w:pPr>
            <w:r w:rsidRPr="00001F8D">
              <w:rPr>
                <w:rFonts w:cs="Arial"/>
                <w:sz w:val="24"/>
                <w:szCs w:val="24"/>
              </w:rPr>
              <w:t xml:space="preserve">La ley, las ordenanzas y los acuerdos deben fijar, directamente, los sujetos activos y pasivos, los hechos y las bases gravables, y las tarifas de los impuestos. </w:t>
            </w:r>
          </w:p>
          <w:p w14:paraId="2DD4E8B0" w14:textId="77777777" w:rsidR="00001F8D" w:rsidRPr="00001F8D" w:rsidRDefault="00001F8D" w:rsidP="00BA5758">
            <w:pPr>
              <w:jc w:val="both"/>
              <w:rPr>
                <w:rFonts w:cs="Arial"/>
                <w:sz w:val="24"/>
                <w:szCs w:val="24"/>
              </w:rPr>
            </w:pPr>
          </w:p>
          <w:p w14:paraId="5BEF677A" w14:textId="77777777" w:rsidR="00001F8D" w:rsidRPr="00001F8D" w:rsidRDefault="00001F8D" w:rsidP="00BA5758">
            <w:pPr>
              <w:jc w:val="both"/>
              <w:rPr>
                <w:rFonts w:cs="Arial"/>
                <w:sz w:val="24"/>
                <w:szCs w:val="24"/>
              </w:rPr>
            </w:pPr>
            <w:r w:rsidRPr="00001F8D">
              <w:rPr>
                <w:rFonts w:cs="Arial"/>
                <w:sz w:val="24"/>
                <w:szCs w:val="24"/>
              </w:rPr>
              <w:t>La ley, las ordenanzas y los acuerdos pueden permitir que las autoridades fijen la tarifa de las tasas</w:t>
            </w:r>
            <w:r w:rsidRPr="00001F8D">
              <w:rPr>
                <w:rStyle w:val="Refdenotaalpie"/>
                <w:rFonts w:cs="Arial"/>
                <w:sz w:val="24"/>
                <w:szCs w:val="24"/>
              </w:rPr>
              <w:footnoteReference w:id="6"/>
            </w:r>
            <w:r w:rsidRPr="00001F8D">
              <w:rPr>
                <w:rFonts w:cs="Arial"/>
                <w:sz w:val="24"/>
                <w:szCs w:val="24"/>
              </w:rPr>
              <w:t xml:space="preserve">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w:t>
            </w:r>
          </w:p>
          <w:p w14:paraId="0A618E5D" w14:textId="77777777" w:rsidR="00001F8D" w:rsidRPr="00001F8D" w:rsidRDefault="00001F8D" w:rsidP="00BA5758">
            <w:pPr>
              <w:jc w:val="both"/>
              <w:rPr>
                <w:rFonts w:cs="Arial"/>
                <w:sz w:val="24"/>
                <w:szCs w:val="24"/>
              </w:rPr>
            </w:pPr>
          </w:p>
          <w:p w14:paraId="5B9F2D7F" w14:textId="77777777" w:rsidR="00001F8D" w:rsidRPr="00001F8D" w:rsidRDefault="00001F8D" w:rsidP="00BA5758">
            <w:pPr>
              <w:jc w:val="both"/>
              <w:rPr>
                <w:rFonts w:cs="Arial"/>
                <w:sz w:val="24"/>
                <w:szCs w:val="24"/>
              </w:rPr>
            </w:pPr>
            <w:r w:rsidRPr="00001F8D">
              <w:rPr>
                <w:rFonts w:cs="Arial"/>
                <w:sz w:val="24"/>
                <w:szCs w:val="24"/>
              </w:rPr>
              <w:t>En este aspecto es pertinente indicar que el Consejo de Estado emitió concepto con radicación interna 11001-03-06-000-2014-00024-00, del 25 de agosto del 2014, Consejero Ponente Augusto Hernández Becerra en relación con el sistema y método para determinar los costos y los beneficios, en donde señaló lo siguiente:</w:t>
            </w:r>
          </w:p>
          <w:p w14:paraId="04A14552" w14:textId="77777777" w:rsidR="00001F8D" w:rsidRPr="00001F8D" w:rsidRDefault="00001F8D" w:rsidP="00BA5758">
            <w:pPr>
              <w:jc w:val="both"/>
              <w:rPr>
                <w:rFonts w:cs="Arial"/>
                <w:sz w:val="24"/>
                <w:szCs w:val="24"/>
              </w:rPr>
            </w:pPr>
          </w:p>
          <w:p w14:paraId="39ED08A5" w14:textId="77777777" w:rsidR="00001F8D" w:rsidRPr="00001F8D" w:rsidRDefault="00001F8D" w:rsidP="00BA5758">
            <w:pPr>
              <w:jc w:val="both"/>
              <w:rPr>
                <w:rFonts w:cs="Arial"/>
                <w:i/>
                <w:iCs/>
                <w:sz w:val="24"/>
                <w:szCs w:val="24"/>
              </w:rPr>
            </w:pPr>
            <w:r w:rsidRPr="00001F8D">
              <w:rPr>
                <w:rFonts w:cs="Arial"/>
                <w:i/>
                <w:iCs/>
                <w:sz w:val="24"/>
                <w:szCs w:val="24"/>
              </w:rPr>
              <w:t>“Los conceptos de sistema y método para determinar los costos y los beneficios no están definidos en la Carta Política ni en la ley. Sin embargo, la jurisprudencia de la Corte Constitucional ha mencionado en varias ocasiones, que por método debe entenderse las “pautas técnicas encaminadas a la previa definición de los criterios que tienen relevancia en materia de tasas y contribuciones para determinar los costos y beneficios que inciden en una tarifa” y por sistema, las “formas especificas de medición económica, de valoración y ponderación de los distintos factores que convergen en dicha determinación”.</w:t>
            </w:r>
          </w:p>
          <w:p w14:paraId="55718213" w14:textId="77777777" w:rsidR="00001F8D" w:rsidRPr="00001F8D" w:rsidRDefault="00001F8D" w:rsidP="00BA5758">
            <w:pPr>
              <w:jc w:val="both"/>
              <w:rPr>
                <w:rFonts w:cs="Arial"/>
                <w:i/>
                <w:iCs/>
                <w:sz w:val="24"/>
                <w:szCs w:val="24"/>
              </w:rPr>
            </w:pPr>
          </w:p>
          <w:p w14:paraId="7E97EE76" w14:textId="77777777" w:rsidR="00001F8D" w:rsidRPr="00001F8D" w:rsidRDefault="00001F8D" w:rsidP="00BA5758">
            <w:pPr>
              <w:jc w:val="both"/>
              <w:rPr>
                <w:rFonts w:cs="Arial"/>
                <w:i/>
                <w:iCs/>
                <w:sz w:val="24"/>
                <w:szCs w:val="24"/>
              </w:rPr>
            </w:pPr>
            <w:r w:rsidRPr="00001F8D">
              <w:rPr>
                <w:rFonts w:cs="Arial"/>
                <w:i/>
                <w:iCs/>
                <w:sz w:val="24"/>
                <w:szCs w:val="24"/>
              </w:rPr>
              <w:t>También ha dicho la Corte que el sistema “se define por el hecho de no ser un simple agregado desordenado de elementos sino por constituir una totalidad, caracterizada por una determinada articulación dinámica entre sus partes. Supone coherencia interna para relacionar entre sí los componentes de un conjunto, que en el ámbito tributario representan la combinación de reglas y directrices necesarias para determinar los costos y los beneficios de una obra o servicio, así como la forma de hacer su distribución”</w:t>
            </w:r>
          </w:p>
          <w:p w14:paraId="25A423B9" w14:textId="77777777" w:rsidR="00001F8D" w:rsidRPr="00001F8D" w:rsidRDefault="00001F8D" w:rsidP="00BA5758">
            <w:pPr>
              <w:jc w:val="both"/>
              <w:rPr>
                <w:rFonts w:cs="Arial"/>
                <w:i/>
                <w:iCs/>
                <w:sz w:val="24"/>
                <w:szCs w:val="24"/>
              </w:rPr>
            </w:pPr>
          </w:p>
          <w:p w14:paraId="24FB379E" w14:textId="77777777" w:rsidR="00001F8D" w:rsidRPr="00001F8D" w:rsidRDefault="00001F8D" w:rsidP="00BA5758">
            <w:pPr>
              <w:jc w:val="both"/>
              <w:rPr>
                <w:rFonts w:cs="Arial"/>
                <w:i/>
                <w:iCs/>
                <w:sz w:val="24"/>
                <w:szCs w:val="24"/>
              </w:rPr>
            </w:pPr>
            <w:r w:rsidRPr="00001F8D">
              <w:rPr>
                <w:rFonts w:cs="Arial"/>
                <w:i/>
                <w:iCs/>
                <w:sz w:val="24"/>
                <w:szCs w:val="24"/>
              </w:rPr>
              <w:t>En cuanto al método la misma corporación ha sostenido que se refiere a “los pasos o pautas que deben observarse para que los componentes del sistema se proyecten extrínsecamente, así constituye el procedimiento a seguir con el objeto de determinar en concreto el monto de la obligación tributaria</w:t>
            </w:r>
          </w:p>
          <w:p w14:paraId="54915FD8" w14:textId="77777777" w:rsidR="00001F8D" w:rsidRPr="00001F8D" w:rsidRDefault="00001F8D" w:rsidP="00BA5758">
            <w:pPr>
              <w:jc w:val="both"/>
              <w:rPr>
                <w:rFonts w:cs="Arial"/>
                <w:i/>
                <w:iCs/>
                <w:sz w:val="24"/>
                <w:szCs w:val="24"/>
              </w:rPr>
            </w:pPr>
          </w:p>
          <w:p w14:paraId="6816CB31" w14:textId="77777777" w:rsidR="00001F8D" w:rsidRPr="00001F8D" w:rsidRDefault="00001F8D" w:rsidP="00BA5758">
            <w:pPr>
              <w:jc w:val="both"/>
              <w:rPr>
                <w:rFonts w:cs="Arial"/>
                <w:i/>
                <w:iCs/>
                <w:sz w:val="24"/>
                <w:szCs w:val="24"/>
              </w:rPr>
            </w:pPr>
            <w:r w:rsidRPr="00001F8D">
              <w:rPr>
                <w:rFonts w:cs="Arial"/>
                <w:i/>
                <w:iCs/>
                <w:sz w:val="24"/>
                <w:szCs w:val="24"/>
              </w:rPr>
              <w:t xml:space="preserve">(…) </w:t>
            </w:r>
            <w:r w:rsidRPr="00001F8D">
              <w:rPr>
                <w:rStyle w:val="Refdenotaalpie"/>
                <w:rFonts w:cs="Arial"/>
                <w:i/>
                <w:iCs/>
                <w:sz w:val="24"/>
                <w:szCs w:val="24"/>
              </w:rPr>
              <w:footnoteReference w:id="7"/>
            </w:r>
          </w:p>
          <w:p w14:paraId="4D7DFBF4" w14:textId="77777777" w:rsidR="00001F8D" w:rsidRPr="00001F8D" w:rsidRDefault="00001F8D" w:rsidP="00BA5758">
            <w:pPr>
              <w:jc w:val="both"/>
              <w:rPr>
                <w:rFonts w:cs="Arial"/>
                <w:i/>
                <w:iCs/>
                <w:sz w:val="24"/>
                <w:szCs w:val="24"/>
              </w:rPr>
            </w:pPr>
          </w:p>
          <w:p w14:paraId="7537A1B8" w14:textId="77777777" w:rsidR="00001F8D" w:rsidRPr="00001F8D" w:rsidRDefault="00001F8D" w:rsidP="00BA5758">
            <w:pPr>
              <w:jc w:val="both"/>
              <w:rPr>
                <w:rFonts w:cs="Arial"/>
                <w:sz w:val="24"/>
                <w:szCs w:val="24"/>
              </w:rPr>
            </w:pPr>
            <w:r w:rsidRPr="00001F8D">
              <w:rPr>
                <w:rFonts w:cs="Arial"/>
                <w:sz w:val="24"/>
                <w:szCs w:val="24"/>
              </w:rPr>
              <w:t xml:space="preserve">En este mismo sentido la Corte manifestó en la sentencia C-532 de 2003 lo siguiente: </w:t>
            </w:r>
          </w:p>
          <w:p w14:paraId="72440720" w14:textId="77777777" w:rsidR="00001F8D" w:rsidRPr="00001F8D" w:rsidRDefault="00001F8D" w:rsidP="00BA5758">
            <w:pPr>
              <w:jc w:val="both"/>
              <w:rPr>
                <w:rFonts w:cs="Arial"/>
                <w:i/>
                <w:iCs/>
                <w:sz w:val="24"/>
                <w:szCs w:val="24"/>
              </w:rPr>
            </w:pPr>
          </w:p>
          <w:p w14:paraId="36D25D6C" w14:textId="77777777" w:rsidR="00001F8D" w:rsidRPr="00001F8D" w:rsidRDefault="00001F8D" w:rsidP="00BA5758">
            <w:pPr>
              <w:jc w:val="both"/>
              <w:rPr>
                <w:rFonts w:cs="Arial"/>
                <w:i/>
                <w:iCs/>
                <w:sz w:val="24"/>
                <w:szCs w:val="24"/>
              </w:rPr>
            </w:pPr>
            <w:r w:rsidRPr="00001F8D">
              <w:rPr>
                <w:rFonts w:cs="Arial"/>
                <w:i/>
                <w:iCs/>
                <w:sz w:val="24"/>
                <w:szCs w:val="24"/>
              </w:rPr>
              <w:t>“Frente a las tasas y contribuciones especiales la Corte considera que tanto el “sistema” como el “método”, referidos en el artículo 338 de la Constitución, deben ser lo suficientemente claros y precisos a fin de evitar que los órganos de representación popular desatiendan un expreso mandato Superior, mas no por ello tienen que hacer una descripción detallada o rigurosa de cada uno de los elementos y procedimientos a tener en cuenta para fijar la tarifa, pues en tal caso la facultad constitucional de las autoridades administrativas perdería por completo su razón de ser.</w:t>
            </w:r>
          </w:p>
          <w:p w14:paraId="3F56C962" w14:textId="77777777" w:rsidR="00001F8D" w:rsidRPr="00001F8D" w:rsidRDefault="00001F8D" w:rsidP="00BA5758">
            <w:pPr>
              <w:jc w:val="both"/>
              <w:rPr>
                <w:rFonts w:cs="Arial"/>
                <w:i/>
                <w:iCs/>
                <w:sz w:val="24"/>
                <w:szCs w:val="24"/>
              </w:rPr>
            </w:pPr>
          </w:p>
          <w:p w14:paraId="7F788393" w14:textId="77777777" w:rsidR="00001F8D" w:rsidRPr="00001F8D" w:rsidRDefault="00001F8D" w:rsidP="00BA5758">
            <w:pPr>
              <w:jc w:val="both"/>
              <w:rPr>
                <w:rFonts w:cs="Arial"/>
                <w:i/>
                <w:iCs/>
                <w:sz w:val="24"/>
                <w:szCs w:val="24"/>
              </w:rPr>
            </w:pPr>
            <w:r w:rsidRPr="00001F8D">
              <w:rPr>
                <w:rFonts w:cs="Arial"/>
                <w:i/>
                <w:iCs/>
                <w:sz w:val="24"/>
                <w:szCs w:val="24"/>
              </w:rPr>
              <w:t xml:space="preserve">“Se trata, si se quiere, de una suerte de competencias compartidas, donde el Congreso, las asambleas departamentales y los concejos son los encargados de señalar los elementos estructurales del método y del sistema tarifario, mientras que a las autoridades administrativas corresponde desarrollar los parámetros previamente indicados. </w:t>
            </w:r>
          </w:p>
          <w:p w14:paraId="4D5C8979" w14:textId="77777777" w:rsidR="00001F8D" w:rsidRPr="00001F8D" w:rsidRDefault="00001F8D" w:rsidP="00BA5758">
            <w:pPr>
              <w:jc w:val="both"/>
              <w:rPr>
                <w:rFonts w:cs="Arial"/>
                <w:i/>
                <w:iCs/>
                <w:sz w:val="24"/>
                <w:szCs w:val="24"/>
              </w:rPr>
            </w:pPr>
          </w:p>
          <w:p w14:paraId="7212D686" w14:textId="77777777" w:rsidR="00001F8D" w:rsidRPr="00001F8D" w:rsidRDefault="00001F8D" w:rsidP="00BA5758">
            <w:pPr>
              <w:jc w:val="both"/>
              <w:rPr>
                <w:rFonts w:cs="Arial"/>
                <w:i/>
                <w:iCs/>
                <w:sz w:val="24"/>
                <w:szCs w:val="24"/>
              </w:rPr>
            </w:pPr>
            <w:r w:rsidRPr="00001F8D">
              <w:rPr>
                <w:rFonts w:cs="Arial"/>
                <w:i/>
                <w:iCs/>
                <w:sz w:val="24"/>
                <w:szCs w:val="24"/>
              </w:rPr>
              <w:t>Una exigencia muy fuerte sobre la determinación del método y del sistema prácticamente haría inocua la posibilidad de delegación, pues la propia ley estaría fijando la tarifa de la contribución. Por el contrario, una excesiva indeterminación dejaría en manos de las autoridades administrativas la regulación absoluta de ese elemento, en contravía del principio de legalidad …Lo que la ley exige es más que la simple enunciación de criterios, la definición de una cierta manera de proceder en la articulación de esos criterios.</w:t>
            </w:r>
          </w:p>
          <w:p w14:paraId="57BCBE47" w14:textId="77777777" w:rsidR="00001F8D" w:rsidRPr="00001F8D" w:rsidRDefault="00001F8D" w:rsidP="00BA5758">
            <w:pPr>
              <w:jc w:val="both"/>
              <w:rPr>
                <w:rFonts w:cs="Arial"/>
                <w:i/>
                <w:iCs/>
                <w:sz w:val="24"/>
                <w:szCs w:val="24"/>
              </w:rPr>
            </w:pPr>
          </w:p>
          <w:p w14:paraId="7EDC7D56" w14:textId="77777777" w:rsidR="00001F8D" w:rsidRPr="00001F8D" w:rsidRDefault="00001F8D" w:rsidP="00BA5758">
            <w:pPr>
              <w:jc w:val="both"/>
              <w:rPr>
                <w:rFonts w:cs="Arial"/>
                <w:i/>
                <w:iCs/>
                <w:sz w:val="24"/>
                <w:szCs w:val="24"/>
              </w:rPr>
            </w:pPr>
            <w:r w:rsidRPr="00001F8D">
              <w:rPr>
                <w:rFonts w:cs="Arial"/>
                <w:i/>
                <w:iCs/>
                <w:sz w:val="24"/>
                <w:szCs w:val="24"/>
              </w:rPr>
              <w:t xml:space="preserve">18.- Ahora bien, la anterior exigencia no implica que la ley, las ordenanzas o los acuerdos, necesariamente deban utilizar las palabras “sistema” y “método” como formulas retóricas sacramentales, porque el criterio definitorio será siempre de carácter material. (…). En consecuencia, “basta que su contenido se deduzca el uno y el otro, es decir, los principios que deben respetar las autoridades y las reglas generales a que están sujetas, al definir los costos recuperables y las tarifas correspondientes.” </w:t>
            </w:r>
          </w:p>
          <w:p w14:paraId="6BC13A62" w14:textId="77777777" w:rsidR="00001F8D" w:rsidRPr="00001F8D" w:rsidRDefault="00001F8D" w:rsidP="00BA5758">
            <w:pPr>
              <w:jc w:val="both"/>
              <w:rPr>
                <w:rFonts w:cs="Arial"/>
                <w:sz w:val="24"/>
                <w:szCs w:val="24"/>
              </w:rPr>
            </w:pPr>
          </w:p>
          <w:p w14:paraId="6EE9C267" w14:textId="77777777" w:rsidR="00001F8D" w:rsidRPr="00001F8D" w:rsidRDefault="00001F8D" w:rsidP="00BA5758">
            <w:pPr>
              <w:jc w:val="both"/>
              <w:rPr>
                <w:rFonts w:eastAsia="Arial" w:cs="Arial"/>
                <w:sz w:val="24"/>
                <w:szCs w:val="24"/>
              </w:rPr>
            </w:pPr>
            <w:r w:rsidRPr="00001F8D">
              <w:rPr>
                <w:rFonts w:eastAsia="Arial" w:cs="Arial"/>
                <w:b/>
                <w:sz w:val="24"/>
                <w:szCs w:val="24"/>
              </w:rPr>
              <w:t xml:space="preserve">Ley 1796 de 2016 - artículo 24: </w:t>
            </w:r>
            <w:r w:rsidRPr="00001F8D">
              <w:rPr>
                <w:rFonts w:eastAsia="Arial" w:cs="Arial"/>
                <w:sz w:val="24"/>
                <w:szCs w:val="24"/>
              </w:rPr>
              <w:t>Se ordenó la creación de la Superintendencia Delegada para Curadores Urbanos, con el fin de que ejerciera las funciones de inspección, vigilancia y control sobre los curadores urbanos. Estas funciones tienen un componente disciplinario</w:t>
            </w:r>
            <w:r w:rsidRPr="00001F8D">
              <w:rPr>
                <w:rFonts w:eastAsia="Arial" w:cs="Arial"/>
                <w:sz w:val="24"/>
                <w:szCs w:val="24"/>
                <w:vertAlign w:val="superscript"/>
              </w:rPr>
              <w:footnoteReference w:id="8"/>
            </w:r>
            <w:r w:rsidRPr="00001F8D">
              <w:rPr>
                <w:rFonts w:eastAsia="Arial" w:cs="Arial"/>
                <w:sz w:val="24"/>
                <w:szCs w:val="24"/>
              </w:rPr>
              <w:t xml:space="preserve"> y un componente de vigilancia preventiva</w:t>
            </w:r>
            <w:r w:rsidRPr="00001F8D">
              <w:rPr>
                <w:rFonts w:eastAsia="Arial" w:cs="Arial"/>
                <w:sz w:val="24"/>
                <w:szCs w:val="24"/>
                <w:vertAlign w:val="superscript"/>
              </w:rPr>
              <w:footnoteReference w:id="9"/>
            </w:r>
            <w:r w:rsidRPr="00001F8D">
              <w:rPr>
                <w:rFonts w:eastAsia="Arial" w:cs="Arial"/>
                <w:sz w:val="24"/>
                <w:szCs w:val="24"/>
              </w:rPr>
              <w:t>, ambas dentro de la órbita funcional de la Superintendencia de Notariado y Registro.</w:t>
            </w:r>
            <w:r w:rsidRPr="00001F8D">
              <w:rPr>
                <w:rFonts w:eastAsia="Arial" w:cs="Arial"/>
                <w:sz w:val="24"/>
                <w:szCs w:val="24"/>
                <w:vertAlign w:val="superscript"/>
              </w:rPr>
              <w:footnoteReference w:id="10"/>
            </w:r>
            <w:r w:rsidRPr="00001F8D">
              <w:rPr>
                <w:rFonts w:eastAsia="Arial" w:cs="Arial"/>
                <w:sz w:val="24"/>
                <w:szCs w:val="24"/>
              </w:rPr>
              <w:t xml:space="preserve"> </w:t>
            </w:r>
          </w:p>
          <w:p w14:paraId="18D3CC8D" w14:textId="77777777" w:rsidR="00001F8D" w:rsidRPr="00001F8D" w:rsidRDefault="00001F8D" w:rsidP="00BA5758">
            <w:pPr>
              <w:jc w:val="both"/>
              <w:rPr>
                <w:rFonts w:eastAsia="Arial" w:cs="Arial"/>
                <w:sz w:val="24"/>
                <w:szCs w:val="24"/>
              </w:rPr>
            </w:pPr>
          </w:p>
          <w:p w14:paraId="105AFCB1" w14:textId="77777777" w:rsidR="00001F8D" w:rsidRPr="00001F8D" w:rsidRDefault="00001F8D" w:rsidP="00BA5758">
            <w:pPr>
              <w:jc w:val="both"/>
              <w:rPr>
                <w:rFonts w:eastAsia="Arial" w:cs="Arial"/>
                <w:b/>
                <w:sz w:val="24"/>
                <w:szCs w:val="24"/>
              </w:rPr>
            </w:pPr>
            <w:r w:rsidRPr="00001F8D">
              <w:rPr>
                <w:rFonts w:eastAsia="Arial" w:cs="Arial"/>
                <w:b/>
                <w:sz w:val="24"/>
                <w:szCs w:val="24"/>
              </w:rPr>
              <w:t>Ley 1796 de 2016 – parágrafo 1 del artículo 21:</w:t>
            </w:r>
            <w:r w:rsidRPr="00001F8D">
              <w:rPr>
                <w:rFonts w:eastAsia="Arial" w:cs="Arial"/>
                <w:sz w:val="24"/>
                <w:szCs w:val="24"/>
              </w:rPr>
              <w:t xml:space="preserve"> Dispuso que los gastos que demande el concurso para la designación de curadores urbanos se harán con cargo al presupuesto de la Superintendencia de Notariado y Registro y al Fondo Cuenta de Curadores. </w:t>
            </w:r>
          </w:p>
          <w:p w14:paraId="0D9CC003" w14:textId="77777777" w:rsidR="00001F8D" w:rsidRPr="00001F8D" w:rsidRDefault="00001F8D" w:rsidP="00BA5758">
            <w:pPr>
              <w:jc w:val="both"/>
              <w:rPr>
                <w:rFonts w:eastAsia="Arial" w:cs="Arial"/>
                <w:b/>
                <w:sz w:val="24"/>
                <w:szCs w:val="24"/>
              </w:rPr>
            </w:pPr>
          </w:p>
          <w:p w14:paraId="517EDEEC" w14:textId="77777777" w:rsidR="00001F8D" w:rsidRPr="00001F8D" w:rsidRDefault="00001F8D" w:rsidP="00BA5758">
            <w:pPr>
              <w:jc w:val="both"/>
              <w:rPr>
                <w:rFonts w:eastAsia="Arial" w:cs="Arial"/>
                <w:sz w:val="24"/>
                <w:szCs w:val="24"/>
              </w:rPr>
            </w:pPr>
            <w:r w:rsidRPr="00001F8D">
              <w:rPr>
                <w:rFonts w:eastAsia="Arial" w:cs="Arial"/>
                <w:b/>
                <w:sz w:val="24"/>
                <w:szCs w:val="24"/>
              </w:rPr>
              <w:t xml:space="preserve">Resolución No. 12483 del 16 de noviembre de 2017: </w:t>
            </w:r>
            <w:r w:rsidRPr="00001F8D">
              <w:rPr>
                <w:rFonts w:eastAsia="Arial" w:cs="Arial"/>
                <w:sz w:val="24"/>
                <w:szCs w:val="24"/>
              </w:rPr>
              <w:t xml:space="preserve"> Por la cual se asignan funciones al Superintendente Delegado para la Protección, Restitución y Formalización de Tierra de las funciones del Superintendente Delegada para Curadores Urbanos otorgadas en la Ley 1796 del 2016.</w:t>
            </w:r>
          </w:p>
          <w:p w14:paraId="0B3AE78B" w14:textId="77777777" w:rsidR="00001F8D" w:rsidRPr="00001F8D" w:rsidRDefault="00001F8D" w:rsidP="00BA5758">
            <w:pPr>
              <w:pBdr>
                <w:top w:val="nil"/>
                <w:left w:val="nil"/>
                <w:bottom w:val="nil"/>
                <w:right w:val="nil"/>
                <w:between w:val="nil"/>
              </w:pBdr>
              <w:jc w:val="both"/>
              <w:rPr>
                <w:rFonts w:cs="Arial"/>
                <w:b/>
                <w:color w:val="000000"/>
                <w:sz w:val="24"/>
                <w:szCs w:val="24"/>
              </w:rPr>
            </w:pPr>
          </w:p>
          <w:p w14:paraId="6DD170DF" w14:textId="77777777" w:rsidR="00001F8D" w:rsidRPr="00001F8D" w:rsidRDefault="00001F8D" w:rsidP="00BA5758">
            <w:pPr>
              <w:pBdr>
                <w:top w:val="nil"/>
                <w:left w:val="nil"/>
                <w:bottom w:val="nil"/>
                <w:right w:val="nil"/>
                <w:between w:val="nil"/>
              </w:pBdr>
              <w:jc w:val="both"/>
              <w:rPr>
                <w:rFonts w:cs="Arial"/>
                <w:color w:val="000000"/>
                <w:sz w:val="24"/>
                <w:szCs w:val="24"/>
              </w:rPr>
            </w:pPr>
            <w:r w:rsidRPr="00001F8D">
              <w:rPr>
                <w:rFonts w:cs="Arial"/>
                <w:b/>
                <w:color w:val="000000"/>
                <w:sz w:val="24"/>
                <w:szCs w:val="24"/>
              </w:rPr>
              <w:t>Sentencia C-568 de 2019</w:t>
            </w:r>
            <w:r w:rsidRPr="00001F8D">
              <w:rPr>
                <w:rFonts w:cs="Arial"/>
                <w:color w:val="000000"/>
                <w:sz w:val="24"/>
                <w:szCs w:val="24"/>
              </w:rPr>
              <w:t xml:space="preserve">. M.P. José Fernando Reyes Cuartas. Declara inexequibles los artículos 30 y 31 de la Ley 1796 de 2016. </w:t>
            </w:r>
          </w:p>
          <w:p w14:paraId="16E40FC1" w14:textId="77777777" w:rsidR="00001F8D" w:rsidRPr="00001F8D" w:rsidRDefault="00001F8D" w:rsidP="00BA5758">
            <w:pPr>
              <w:jc w:val="both"/>
              <w:rPr>
                <w:rFonts w:eastAsia="Arial" w:cs="Arial"/>
                <w:sz w:val="24"/>
                <w:szCs w:val="24"/>
              </w:rPr>
            </w:pPr>
          </w:p>
          <w:p w14:paraId="463D1297" w14:textId="77777777" w:rsidR="00001F8D" w:rsidRPr="00001F8D" w:rsidRDefault="00001F8D" w:rsidP="00BA5758">
            <w:pPr>
              <w:jc w:val="both"/>
              <w:rPr>
                <w:rFonts w:eastAsia="Arial" w:cs="Arial"/>
                <w:sz w:val="24"/>
                <w:szCs w:val="24"/>
              </w:rPr>
            </w:pPr>
            <w:r w:rsidRPr="00001F8D">
              <w:rPr>
                <w:rFonts w:eastAsia="Arial" w:cs="Arial"/>
                <w:sz w:val="24"/>
                <w:szCs w:val="24"/>
              </w:rPr>
              <w:t xml:space="preserve">Por lo anteriormente expuesto, se propone al Honorable Congreso de la República, la aprobación del proyecto propuesto, mediante el cual se la cual se fije legalmente la tasa especial de vigilancia que deberán pagar a la Superintendencia de Notariado y Registro los curadores urbanos del país, sometidos a la Inspección, vigilancia y control y que su determinación cumpla los postulados constitucionales de reserva legal tributaria. </w:t>
            </w:r>
          </w:p>
          <w:p w14:paraId="2FFEFC87" w14:textId="77777777" w:rsidR="00001F8D" w:rsidRPr="00001F8D" w:rsidRDefault="00001F8D" w:rsidP="00BA5758">
            <w:pPr>
              <w:jc w:val="both"/>
              <w:rPr>
                <w:rFonts w:eastAsia="Arial" w:cs="Arial"/>
                <w:sz w:val="24"/>
                <w:szCs w:val="24"/>
              </w:rPr>
            </w:pPr>
          </w:p>
          <w:p w14:paraId="642AA06E" w14:textId="77777777" w:rsidR="00001F8D" w:rsidRPr="00001F8D" w:rsidRDefault="00001F8D" w:rsidP="00BA5758">
            <w:pPr>
              <w:spacing w:line="276" w:lineRule="auto"/>
              <w:jc w:val="both"/>
              <w:rPr>
                <w:rFonts w:eastAsia="Arial" w:cs="Arial"/>
                <w:color w:val="000000"/>
                <w:sz w:val="24"/>
                <w:szCs w:val="24"/>
              </w:rPr>
            </w:pPr>
            <w:r w:rsidRPr="00001F8D">
              <w:rPr>
                <w:rFonts w:eastAsia="Arial" w:cs="Arial"/>
                <w:color w:val="000000"/>
                <w:sz w:val="24"/>
                <w:szCs w:val="24"/>
              </w:rPr>
              <w:t>Atentamente,</w:t>
            </w:r>
          </w:p>
          <w:p w14:paraId="6F4377BA" w14:textId="77777777" w:rsidR="009730EE" w:rsidRPr="009730EE" w:rsidRDefault="009730EE" w:rsidP="00BA5758">
            <w:pPr>
              <w:jc w:val="both"/>
              <w:rPr>
                <w:rFonts w:eastAsia="Arial" w:cs="Arial"/>
                <w:b/>
                <w:color w:val="000000"/>
                <w:sz w:val="24"/>
                <w:szCs w:val="24"/>
              </w:rPr>
            </w:pPr>
          </w:p>
          <w:p w14:paraId="2424788C" w14:textId="77777777" w:rsidR="00001F8D" w:rsidRPr="003F097C" w:rsidRDefault="00001F8D" w:rsidP="00BA5758">
            <w:pPr>
              <w:spacing w:line="20" w:lineRule="atLeast"/>
              <w:ind w:right="191"/>
              <w:jc w:val="both"/>
              <w:rPr>
                <w:rFonts w:cs="Arial"/>
                <w:sz w:val="24"/>
                <w:szCs w:val="24"/>
              </w:rPr>
            </w:pPr>
            <w:r w:rsidRPr="003F097C">
              <w:rPr>
                <w:rFonts w:cs="Arial"/>
                <w:sz w:val="24"/>
                <w:szCs w:val="24"/>
              </w:rPr>
              <w:t>___________________________</w:t>
            </w:r>
          </w:p>
          <w:p w14:paraId="26316223" w14:textId="77777777" w:rsidR="00001F8D" w:rsidRPr="003F097C" w:rsidRDefault="00001F8D" w:rsidP="00BA5758">
            <w:pPr>
              <w:spacing w:line="20" w:lineRule="atLeast"/>
              <w:ind w:right="191"/>
              <w:jc w:val="both"/>
              <w:rPr>
                <w:rFonts w:cs="Arial"/>
                <w:b/>
                <w:sz w:val="24"/>
                <w:szCs w:val="24"/>
              </w:rPr>
            </w:pPr>
            <w:r w:rsidRPr="003F097C">
              <w:rPr>
                <w:rFonts w:cs="Arial"/>
                <w:b/>
                <w:sz w:val="24"/>
                <w:szCs w:val="24"/>
              </w:rPr>
              <w:t>CLAUDIA EUGENIA SÁNCHEZ VERGEL</w:t>
            </w:r>
          </w:p>
          <w:p w14:paraId="4F8E92EF" w14:textId="77777777" w:rsidR="00001F8D" w:rsidRPr="003F097C" w:rsidRDefault="00001F8D" w:rsidP="00BA5758">
            <w:pPr>
              <w:spacing w:line="20" w:lineRule="atLeast"/>
              <w:ind w:right="191"/>
              <w:jc w:val="both"/>
              <w:rPr>
                <w:rFonts w:cs="Arial"/>
                <w:b/>
                <w:sz w:val="24"/>
                <w:szCs w:val="24"/>
              </w:rPr>
            </w:pPr>
            <w:r w:rsidRPr="003F097C">
              <w:rPr>
                <w:rFonts w:cs="Arial"/>
                <w:b/>
                <w:sz w:val="24"/>
                <w:szCs w:val="24"/>
              </w:rPr>
              <w:t>Directora Jurídica</w:t>
            </w:r>
          </w:p>
          <w:p w14:paraId="2BA7B9D6" w14:textId="77777777" w:rsidR="00001F8D" w:rsidRPr="003F097C" w:rsidRDefault="00001F8D" w:rsidP="00BA5758">
            <w:pPr>
              <w:spacing w:line="20" w:lineRule="atLeast"/>
              <w:ind w:right="191"/>
              <w:jc w:val="both"/>
              <w:rPr>
                <w:rFonts w:cs="Arial"/>
                <w:b/>
                <w:sz w:val="24"/>
                <w:szCs w:val="24"/>
              </w:rPr>
            </w:pPr>
            <w:r w:rsidRPr="003F097C">
              <w:rPr>
                <w:rFonts w:cs="Arial"/>
                <w:b/>
                <w:sz w:val="24"/>
                <w:szCs w:val="24"/>
              </w:rPr>
              <w:t>Ministerio de Justicia y del Derecho</w:t>
            </w:r>
          </w:p>
          <w:p w14:paraId="5C910681" w14:textId="77777777" w:rsidR="00001F8D" w:rsidRPr="003F097C" w:rsidRDefault="00001F8D" w:rsidP="00BA5758">
            <w:pPr>
              <w:spacing w:line="20" w:lineRule="atLeast"/>
              <w:ind w:right="191"/>
              <w:jc w:val="both"/>
              <w:rPr>
                <w:rFonts w:cs="Arial"/>
                <w:sz w:val="24"/>
                <w:szCs w:val="24"/>
              </w:rPr>
            </w:pPr>
          </w:p>
          <w:p w14:paraId="42B372CE" w14:textId="77777777" w:rsidR="00001F8D" w:rsidRPr="003F097C" w:rsidRDefault="00001F8D" w:rsidP="00BA5758">
            <w:pPr>
              <w:spacing w:line="20" w:lineRule="atLeast"/>
              <w:ind w:right="191"/>
              <w:jc w:val="both"/>
              <w:rPr>
                <w:rFonts w:cs="Arial"/>
                <w:sz w:val="24"/>
                <w:szCs w:val="24"/>
              </w:rPr>
            </w:pPr>
            <w:r w:rsidRPr="003F097C">
              <w:rPr>
                <w:rFonts w:cs="Arial"/>
                <w:sz w:val="24"/>
                <w:szCs w:val="24"/>
              </w:rPr>
              <w:t xml:space="preserve">___________________________        </w:t>
            </w:r>
          </w:p>
          <w:p w14:paraId="794830E8" w14:textId="77777777" w:rsidR="00001F8D" w:rsidRPr="003F097C" w:rsidRDefault="00001F8D" w:rsidP="00BA5758">
            <w:pPr>
              <w:spacing w:line="20" w:lineRule="atLeast"/>
              <w:ind w:right="191"/>
              <w:jc w:val="both"/>
              <w:rPr>
                <w:rFonts w:cs="Arial"/>
                <w:b/>
                <w:sz w:val="24"/>
                <w:szCs w:val="24"/>
              </w:rPr>
            </w:pPr>
            <w:r w:rsidRPr="003F097C">
              <w:rPr>
                <w:rFonts w:cs="Arial"/>
                <w:b/>
                <w:sz w:val="24"/>
                <w:szCs w:val="24"/>
              </w:rPr>
              <w:t>xxxxxxxxxxxxx</w:t>
            </w:r>
          </w:p>
          <w:p w14:paraId="61893FF2" w14:textId="77777777" w:rsidR="00001F8D" w:rsidRPr="009730EE" w:rsidRDefault="00001F8D" w:rsidP="00BA5758">
            <w:pPr>
              <w:spacing w:line="20" w:lineRule="atLeast"/>
              <w:ind w:right="191"/>
              <w:jc w:val="both"/>
              <w:rPr>
                <w:rFonts w:cs="Arial"/>
                <w:sz w:val="24"/>
                <w:szCs w:val="24"/>
                <w:highlight w:val="yellow"/>
              </w:rPr>
            </w:pPr>
          </w:p>
          <w:p w14:paraId="696716EE" w14:textId="77777777" w:rsidR="00001F8D" w:rsidRPr="009730EE" w:rsidRDefault="00001F8D" w:rsidP="00BA5758">
            <w:pPr>
              <w:spacing w:line="20" w:lineRule="atLeast"/>
              <w:ind w:right="191"/>
              <w:jc w:val="both"/>
              <w:rPr>
                <w:rFonts w:cs="Arial"/>
                <w:sz w:val="24"/>
                <w:szCs w:val="24"/>
                <w:highlight w:val="yellow"/>
              </w:rPr>
            </w:pPr>
          </w:p>
          <w:p w14:paraId="32E79781" w14:textId="77777777" w:rsidR="00001F8D" w:rsidRPr="003F097C" w:rsidRDefault="00001F8D" w:rsidP="00BA5758">
            <w:pPr>
              <w:spacing w:line="20" w:lineRule="atLeast"/>
              <w:ind w:right="191"/>
              <w:jc w:val="both"/>
              <w:rPr>
                <w:rFonts w:cs="Arial"/>
                <w:sz w:val="24"/>
                <w:szCs w:val="24"/>
              </w:rPr>
            </w:pPr>
            <w:r w:rsidRPr="003F097C">
              <w:rPr>
                <w:rFonts w:cs="Arial"/>
                <w:sz w:val="24"/>
                <w:szCs w:val="24"/>
              </w:rPr>
              <w:t>__________________________</w:t>
            </w:r>
          </w:p>
          <w:p w14:paraId="79AC110B" w14:textId="687BDBAC" w:rsidR="00001F8D" w:rsidRPr="0066290D" w:rsidRDefault="00004F4D" w:rsidP="00BA5758">
            <w:pPr>
              <w:spacing w:line="20" w:lineRule="atLeast"/>
              <w:ind w:right="191"/>
              <w:jc w:val="both"/>
              <w:rPr>
                <w:rFonts w:cs="Arial"/>
                <w:b/>
                <w:sz w:val="24"/>
                <w:szCs w:val="24"/>
                <w:lang w:val="es-CO"/>
              </w:rPr>
            </w:pPr>
            <w:r>
              <w:rPr>
                <w:rFonts w:cs="Arial"/>
                <w:b/>
                <w:sz w:val="24"/>
                <w:szCs w:val="24"/>
                <w:lang w:val="es-CO"/>
              </w:rPr>
              <w:t>LUZ AMPARO BELTRAN ROJAS</w:t>
            </w:r>
          </w:p>
          <w:p w14:paraId="5916C363" w14:textId="38EE58A6" w:rsidR="00001F8D" w:rsidRPr="003F097C" w:rsidRDefault="00001F8D" w:rsidP="00BA5758">
            <w:pPr>
              <w:spacing w:line="20" w:lineRule="atLeast"/>
              <w:ind w:right="191"/>
              <w:jc w:val="both"/>
              <w:rPr>
                <w:rFonts w:cs="Arial"/>
                <w:b/>
                <w:sz w:val="24"/>
                <w:szCs w:val="24"/>
              </w:rPr>
            </w:pPr>
            <w:r w:rsidRPr="003F097C">
              <w:rPr>
                <w:rFonts w:cs="Arial"/>
                <w:b/>
                <w:sz w:val="24"/>
                <w:szCs w:val="24"/>
              </w:rPr>
              <w:t>Jefe de Oficina Asesora Jurídica</w:t>
            </w:r>
          </w:p>
          <w:p w14:paraId="5952987C" w14:textId="77777777" w:rsidR="00001F8D" w:rsidRPr="009730EE" w:rsidRDefault="00001F8D" w:rsidP="00BA5758">
            <w:pPr>
              <w:spacing w:line="20" w:lineRule="atLeast"/>
              <w:ind w:right="191"/>
              <w:jc w:val="both"/>
              <w:rPr>
                <w:rFonts w:cs="Arial"/>
                <w:b/>
                <w:sz w:val="24"/>
                <w:szCs w:val="24"/>
              </w:rPr>
            </w:pPr>
            <w:r w:rsidRPr="003F097C">
              <w:rPr>
                <w:rFonts w:cs="Arial"/>
                <w:b/>
                <w:sz w:val="24"/>
                <w:szCs w:val="24"/>
              </w:rPr>
              <w:t>Superintendencia de Notariado y Registro</w:t>
            </w:r>
          </w:p>
          <w:p w14:paraId="4DDBEF00" w14:textId="79711B3A" w:rsidR="00F56989" w:rsidRPr="009730EE" w:rsidRDefault="00F56989" w:rsidP="00BA5758">
            <w:pPr>
              <w:spacing w:line="20" w:lineRule="atLeast"/>
              <w:ind w:right="191"/>
              <w:jc w:val="both"/>
              <w:rPr>
                <w:rFonts w:cs="Arial"/>
                <w:sz w:val="24"/>
                <w:szCs w:val="24"/>
                <w:lang w:eastAsia="es-CO"/>
              </w:rPr>
            </w:pPr>
          </w:p>
        </w:tc>
      </w:tr>
      <w:tr w:rsidR="00453A2D" w:rsidRPr="009730EE" w14:paraId="0F098666" w14:textId="77777777" w:rsidTr="1ED977BF">
        <w:trPr>
          <w:trHeight w:val="70"/>
        </w:trPr>
        <w:tc>
          <w:tcPr>
            <w:tcW w:w="10774" w:type="dxa"/>
            <w:gridSpan w:val="2"/>
            <w:shd w:val="clear" w:color="auto" w:fill="FFFFFF" w:themeFill="background1"/>
            <w:vAlign w:val="center"/>
          </w:tcPr>
          <w:p w14:paraId="030C6EF6" w14:textId="77777777" w:rsidR="00453A2D" w:rsidRPr="009730EE" w:rsidRDefault="00453A2D" w:rsidP="00BA5758">
            <w:pPr>
              <w:pStyle w:val="Prrafodelista"/>
              <w:spacing w:line="20" w:lineRule="atLeast"/>
              <w:ind w:left="720" w:right="191"/>
              <w:jc w:val="both"/>
              <w:rPr>
                <w:rFonts w:cs="Arial"/>
                <w:sz w:val="24"/>
                <w:szCs w:val="24"/>
                <w:lang w:eastAsia="es-CO"/>
              </w:rPr>
            </w:pPr>
          </w:p>
        </w:tc>
      </w:tr>
    </w:tbl>
    <w:p w14:paraId="52E56223" w14:textId="77777777" w:rsidR="00301DC2" w:rsidRPr="009730EE" w:rsidRDefault="00301DC2" w:rsidP="00BA5758">
      <w:pPr>
        <w:spacing w:line="20" w:lineRule="atLeast"/>
        <w:ind w:right="191"/>
        <w:jc w:val="both"/>
        <w:rPr>
          <w:rFonts w:cs="Arial"/>
          <w:sz w:val="24"/>
          <w:szCs w:val="24"/>
        </w:rPr>
      </w:pPr>
    </w:p>
    <w:p w14:paraId="568AEB74" w14:textId="77777777" w:rsidR="00435106" w:rsidRPr="009730EE" w:rsidRDefault="00435106" w:rsidP="00BA5758">
      <w:pPr>
        <w:spacing w:line="20" w:lineRule="atLeast"/>
        <w:ind w:right="191"/>
        <w:jc w:val="both"/>
        <w:rPr>
          <w:rFonts w:cs="Arial"/>
          <w:b/>
          <w:sz w:val="24"/>
          <w:szCs w:val="24"/>
        </w:rPr>
      </w:pPr>
    </w:p>
    <w:p w14:paraId="63F03ACA" w14:textId="77777777" w:rsidR="00EA04C3" w:rsidRPr="009730EE" w:rsidRDefault="00EA04C3" w:rsidP="00BA5758">
      <w:pPr>
        <w:spacing w:line="20" w:lineRule="atLeast"/>
        <w:ind w:right="191"/>
        <w:jc w:val="both"/>
        <w:rPr>
          <w:rFonts w:cs="Arial"/>
          <w:b/>
          <w:sz w:val="24"/>
          <w:szCs w:val="24"/>
        </w:rPr>
      </w:pPr>
    </w:p>
    <w:p w14:paraId="7C5085F4" w14:textId="02173290" w:rsidR="00EA04C3" w:rsidRPr="00FA08A0" w:rsidRDefault="00EA04C3" w:rsidP="00BA5758">
      <w:pPr>
        <w:spacing w:line="20" w:lineRule="atLeast"/>
        <w:ind w:right="191"/>
        <w:jc w:val="both"/>
        <w:rPr>
          <w:rFonts w:cs="Arial"/>
          <w:bCs/>
          <w:sz w:val="18"/>
          <w:szCs w:val="18"/>
        </w:rPr>
      </w:pPr>
    </w:p>
    <w:sectPr w:rsidR="00EA04C3" w:rsidRPr="00FA08A0" w:rsidSect="00C36EC2">
      <w:headerReference w:type="default" r:id="rId12"/>
      <w:footerReference w:type="default" r:id="rId13"/>
      <w:headerReference w:type="first" r:id="rId14"/>
      <w:footerReference w:type="first" r:id="rId15"/>
      <w:type w:val="continuous"/>
      <w:pgSz w:w="12240" w:h="15840" w:code="1"/>
      <w:pgMar w:top="1616" w:right="1701" w:bottom="1115"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53EB0" w14:textId="77777777" w:rsidR="00E13B5A" w:rsidRDefault="00E13B5A">
      <w:r>
        <w:separator/>
      </w:r>
    </w:p>
  </w:endnote>
  <w:endnote w:type="continuationSeparator" w:id="0">
    <w:p w14:paraId="1274B942" w14:textId="77777777" w:rsidR="00E13B5A" w:rsidRDefault="00E13B5A">
      <w:r>
        <w:continuationSeparator/>
      </w:r>
    </w:p>
  </w:endnote>
  <w:endnote w:type="continuationNotice" w:id="1">
    <w:p w14:paraId="016CA7FC" w14:textId="77777777" w:rsidR="00E13B5A" w:rsidRDefault="00E13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69775" w14:textId="51ECAA0B" w:rsidR="004664FD" w:rsidRDefault="004664FD">
    <w:pPr>
      <w:pStyle w:val="Piedepgina"/>
      <w:jc w:val="right"/>
    </w:pPr>
  </w:p>
  <w:p w14:paraId="69846147" w14:textId="08BD2478" w:rsidR="009730EE" w:rsidRDefault="009730EE" w:rsidP="009730EE">
    <w:pPr>
      <w:pStyle w:val="Piedepgina"/>
      <w:jc w:val="right"/>
    </w:pPr>
    <w:r>
      <w:rPr>
        <w:noProof/>
        <w:lang w:val="es-CO" w:eastAsia="es-CO"/>
      </w:rPr>
      <mc:AlternateContent>
        <mc:Choice Requires="wps">
          <w:drawing>
            <wp:anchor distT="0" distB="0" distL="114300" distR="114300" simplePos="0" relativeHeight="251661312" behindDoc="0" locked="0" layoutInCell="1" allowOverlap="1" wp14:anchorId="1694DD8D" wp14:editId="68042E41">
              <wp:simplePos x="0" y="0"/>
              <wp:positionH relativeFrom="margin">
                <wp:posOffset>158115</wp:posOffset>
              </wp:positionH>
              <wp:positionV relativeFrom="paragraph">
                <wp:posOffset>15240</wp:posOffset>
              </wp:positionV>
              <wp:extent cx="5638800" cy="972820"/>
              <wp:effectExtent l="0" t="0" r="0" b="0"/>
              <wp:wrapNone/>
              <wp:docPr id="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1AB4FEDF" w14:textId="77777777" w:rsidR="009730EE" w:rsidRPr="00256928" w:rsidRDefault="009730EE" w:rsidP="009730EE">
                          <w:pPr>
                            <w:spacing w:line="276" w:lineRule="auto"/>
                            <w:jc w:val="both"/>
                            <w:rPr>
                              <w:rFonts w:ascii="Helvetica" w:hAnsi="Helvetica"/>
                            </w:rPr>
                          </w:pPr>
                          <w:r w:rsidRPr="00256928">
                            <w:rPr>
                              <w:rFonts w:ascii="Helvetica" w:hAnsi="Helvetica"/>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730EE" w:rsidRPr="009830D0" w14:paraId="128ABA83" w14:textId="77777777" w:rsidTr="00671383">
                            <w:tc>
                              <w:tcPr>
                                <w:tcW w:w="4703" w:type="dxa"/>
                              </w:tcPr>
                              <w:p w14:paraId="2CA26563" w14:textId="77777777" w:rsidR="009730EE" w:rsidRPr="009830D0" w:rsidRDefault="009730EE" w:rsidP="0067138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6D185F87" w14:textId="77777777" w:rsidR="009730EE" w:rsidRPr="009830D0" w:rsidRDefault="009730EE" w:rsidP="0067138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5B15B2B4" w14:textId="77777777" w:rsidR="009730EE" w:rsidRPr="009830D0" w:rsidRDefault="009730EE" w:rsidP="0067138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A759C8C" w14:textId="1821F9BE" w:rsidR="009730EE" w:rsidRPr="004F25ED" w:rsidRDefault="009730EE" w:rsidP="0067138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p>
                              <w:p w14:paraId="3D039C0C" w14:textId="70C30B38" w:rsidR="00001F8D" w:rsidRPr="009830D0" w:rsidRDefault="009730EE" w:rsidP="00001F8D">
                                <w:pPr>
                                  <w:spacing w:line="276" w:lineRule="auto"/>
                                  <w:rPr>
                                    <w:rFonts w:ascii="Helvetica" w:hAnsi="Helvetica"/>
                                    <w:sz w:val="18"/>
                                    <w:szCs w:val="18"/>
                                  </w:rPr>
                                </w:pPr>
                                <w:r w:rsidRPr="004F25ED">
                                  <w:rPr>
                                    <w:rFonts w:ascii="Helvetica" w:hAnsi="Helvetica"/>
                                    <w:b/>
                                    <w:color w:val="7F7F7F"/>
                                    <w:sz w:val="18"/>
                                    <w:szCs w:val="18"/>
                                    <w:lang w:val="pt-BR"/>
                                  </w:rPr>
                                  <w:t xml:space="preserve">                                               </w:t>
                                </w:r>
                              </w:p>
                              <w:p w14:paraId="4E86557F" w14:textId="6A76A924" w:rsidR="009730EE" w:rsidRPr="009830D0" w:rsidRDefault="009730EE" w:rsidP="00671383">
                                <w:pPr>
                                  <w:spacing w:line="276" w:lineRule="auto"/>
                                  <w:rPr>
                                    <w:rFonts w:ascii="Helvetica" w:hAnsi="Helvetica"/>
                                    <w:sz w:val="18"/>
                                    <w:szCs w:val="18"/>
                                  </w:rPr>
                                </w:pPr>
                              </w:p>
                            </w:tc>
                          </w:tr>
                          <w:tr w:rsidR="009730EE" w:rsidRPr="009830D0" w14:paraId="1294F393" w14:textId="77777777" w:rsidTr="00671383">
                            <w:tc>
                              <w:tcPr>
                                <w:tcW w:w="4703" w:type="dxa"/>
                              </w:tcPr>
                              <w:p w14:paraId="6F21F11A" w14:textId="77777777" w:rsidR="009730EE" w:rsidRPr="009830D0" w:rsidRDefault="009730EE" w:rsidP="00671383">
                                <w:pPr>
                                  <w:spacing w:line="276" w:lineRule="auto"/>
                                  <w:jc w:val="both"/>
                                  <w:rPr>
                                    <w:rFonts w:ascii="Helvetica" w:hAnsi="Helvetica"/>
                                    <w:b/>
                                    <w:bCs/>
                                    <w:sz w:val="18"/>
                                    <w:szCs w:val="18"/>
                                  </w:rPr>
                                </w:pPr>
                              </w:p>
                            </w:tc>
                            <w:tc>
                              <w:tcPr>
                                <w:tcW w:w="6071" w:type="dxa"/>
                              </w:tcPr>
                              <w:p w14:paraId="042B7786" w14:textId="77777777" w:rsidR="009730EE" w:rsidRPr="009830D0" w:rsidRDefault="009730EE" w:rsidP="00671383">
                                <w:pPr>
                                  <w:spacing w:line="276" w:lineRule="auto"/>
                                  <w:jc w:val="both"/>
                                  <w:rPr>
                                    <w:rFonts w:ascii="Helvetica" w:hAnsi="Helvetica"/>
                                    <w:b/>
                                    <w:bCs/>
                                    <w:sz w:val="18"/>
                                    <w:szCs w:val="18"/>
                                  </w:rPr>
                                </w:pPr>
                              </w:p>
                            </w:tc>
                          </w:tr>
                        </w:tbl>
                        <w:p w14:paraId="7751021A" w14:textId="77777777" w:rsidR="009730EE" w:rsidRPr="00256928" w:rsidRDefault="009730EE" w:rsidP="009730EE">
                          <w:pPr>
                            <w:spacing w:line="276" w:lineRule="auto"/>
                            <w:jc w:val="both"/>
                            <w:rPr>
                              <w:rFonts w:ascii="Helvetica" w:hAnsi="Helveti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94DD8D"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" filled="f" stroked="f" strokeweight=".5pt">
              <v:path arrowok="t"/>
              <v:textbox>
                <w:txbxContent>
                  <w:p w14:paraId="1AB4FEDF" w14:textId="77777777" w:rsidR="009730EE" w:rsidRPr="00256928" w:rsidRDefault="009730EE" w:rsidP="009730EE">
                    <w:pPr>
                      <w:spacing w:line="276" w:lineRule="auto"/>
                      <w:jc w:val="both"/>
                      <w:rPr>
                        <w:rFonts w:ascii="Helvetica" w:hAnsi="Helvetica"/>
                      </w:rPr>
                    </w:pPr>
                    <w:r w:rsidRPr="00256928">
                      <w:rPr>
                        <w:rFonts w:ascii="Helvetica" w:hAnsi="Helvetica"/>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730EE" w:rsidRPr="009830D0" w14:paraId="128ABA83" w14:textId="77777777" w:rsidTr="00671383">
                      <w:tc>
                        <w:tcPr>
                          <w:tcW w:w="4703" w:type="dxa"/>
                        </w:tcPr>
                        <w:p w14:paraId="2CA26563" w14:textId="77777777" w:rsidR="009730EE" w:rsidRPr="009830D0" w:rsidRDefault="009730EE" w:rsidP="0067138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6D185F87" w14:textId="77777777" w:rsidR="009730EE" w:rsidRPr="009830D0" w:rsidRDefault="009730EE" w:rsidP="0067138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5B15B2B4" w14:textId="77777777" w:rsidR="009730EE" w:rsidRPr="009830D0" w:rsidRDefault="009730EE" w:rsidP="0067138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A759C8C" w14:textId="1821F9BE" w:rsidR="009730EE" w:rsidRPr="004F25ED" w:rsidRDefault="009730EE" w:rsidP="0067138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p>
                        <w:p w14:paraId="3D039C0C" w14:textId="70C30B38" w:rsidR="00001F8D" w:rsidRPr="009830D0" w:rsidRDefault="009730EE" w:rsidP="00001F8D">
                          <w:pPr>
                            <w:spacing w:line="276" w:lineRule="auto"/>
                            <w:rPr>
                              <w:rFonts w:ascii="Helvetica" w:hAnsi="Helvetica"/>
                              <w:sz w:val="18"/>
                              <w:szCs w:val="18"/>
                            </w:rPr>
                          </w:pPr>
                          <w:r w:rsidRPr="004F25ED">
                            <w:rPr>
                              <w:rFonts w:ascii="Helvetica" w:hAnsi="Helvetica"/>
                              <w:b/>
                              <w:color w:val="7F7F7F"/>
                              <w:sz w:val="18"/>
                              <w:szCs w:val="18"/>
                              <w:lang w:val="pt-BR"/>
                            </w:rPr>
                            <w:t xml:space="preserve">                                               </w:t>
                          </w:r>
                        </w:p>
                        <w:p w14:paraId="4E86557F" w14:textId="6A76A924" w:rsidR="009730EE" w:rsidRPr="009830D0" w:rsidRDefault="009730EE" w:rsidP="00671383">
                          <w:pPr>
                            <w:spacing w:line="276" w:lineRule="auto"/>
                            <w:rPr>
                              <w:rFonts w:ascii="Helvetica" w:hAnsi="Helvetica"/>
                              <w:sz w:val="18"/>
                              <w:szCs w:val="18"/>
                            </w:rPr>
                          </w:pPr>
                        </w:p>
                      </w:tc>
                    </w:tr>
                    <w:tr w:rsidR="009730EE" w:rsidRPr="009830D0" w14:paraId="1294F393" w14:textId="77777777" w:rsidTr="00671383">
                      <w:tc>
                        <w:tcPr>
                          <w:tcW w:w="4703" w:type="dxa"/>
                        </w:tcPr>
                        <w:p w14:paraId="6F21F11A" w14:textId="77777777" w:rsidR="009730EE" w:rsidRPr="009830D0" w:rsidRDefault="009730EE" w:rsidP="00671383">
                          <w:pPr>
                            <w:spacing w:line="276" w:lineRule="auto"/>
                            <w:jc w:val="both"/>
                            <w:rPr>
                              <w:rFonts w:ascii="Helvetica" w:hAnsi="Helvetica"/>
                              <w:b/>
                              <w:bCs/>
                              <w:sz w:val="18"/>
                              <w:szCs w:val="18"/>
                            </w:rPr>
                          </w:pPr>
                        </w:p>
                      </w:tc>
                      <w:tc>
                        <w:tcPr>
                          <w:tcW w:w="6071" w:type="dxa"/>
                        </w:tcPr>
                        <w:p w14:paraId="042B7786" w14:textId="77777777" w:rsidR="009730EE" w:rsidRPr="009830D0" w:rsidRDefault="009730EE" w:rsidP="00671383">
                          <w:pPr>
                            <w:spacing w:line="276" w:lineRule="auto"/>
                            <w:jc w:val="both"/>
                            <w:rPr>
                              <w:rFonts w:ascii="Helvetica" w:hAnsi="Helvetica"/>
                              <w:b/>
                              <w:bCs/>
                              <w:sz w:val="18"/>
                              <w:szCs w:val="18"/>
                            </w:rPr>
                          </w:pPr>
                        </w:p>
                      </w:tc>
                    </w:tr>
                  </w:tbl>
                  <w:p w14:paraId="7751021A" w14:textId="77777777" w:rsidR="009730EE" w:rsidRPr="00256928" w:rsidRDefault="009730EE" w:rsidP="009730EE">
                    <w:pPr>
                      <w:spacing w:line="276" w:lineRule="auto"/>
                      <w:jc w:val="both"/>
                      <w:rPr>
                        <w:rFonts w:ascii="Helvetica" w:hAnsi="Helvetica"/>
                      </w:rPr>
                    </w:pPr>
                  </w:p>
                </w:txbxContent>
              </v:textbox>
              <w10:wrap anchorx="margin"/>
            </v:shape>
          </w:pict>
        </mc:Fallback>
      </mc:AlternateContent>
    </w:r>
    <w:r>
      <w:t xml:space="preserve">Página | </w:t>
    </w:r>
    <w:r>
      <w:fldChar w:fldCharType="begin"/>
    </w:r>
    <w:r>
      <w:instrText>PAGE   \* MERGEFORMAT</w:instrText>
    </w:r>
    <w:r>
      <w:fldChar w:fldCharType="separate"/>
    </w:r>
    <w:r w:rsidR="00875375">
      <w:rPr>
        <w:noProof/>
      </w:rPr>
      <w:t>2</w:t>
    </w:r>
    <w:r>
      <w:fldChar w:fldCharType="end"/>
    </w:r>
    <w:r>
      <w:t xml:space="preserve"> </w:t>
    </w:r>
  </w:p>
  <w:p w14:paraId="19219836" w14:textId="77777777" w:rsidR="004664FD" w:rsidRPr="0084294E" w:rsidRDefault="004664FD" w:rsidP="009730EE">
    <w:pPr>
      <w:pStyle w:val="Piedepgina"/>
      <w:rPr>
        <w:sz w:val="18"/>
        <w:szCs w:val="18"/>
        <w:lang w:val="es-CO"/>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779AF" w14:textId="5841C166" w:rsidR="00435106" w:rsidRDefault="00435106" w:rsidP="00435106">
    <w:pPr>
      <w:pStyle w:val="Piedepgina"/>
      <w:jc w:val="right"/>
    </w:pPr>
    <w:r>
      <w:rPr>
        <w:noProof/>
        <w:lang w:val="es-CO" w:eastAsia="es-CO"/>
      </w:rPr>
      <mc:AlternateContent>
        <mc:Choice Requires="wps">
          <w:drawing>
            <wp:anchor distT="0" distB="0" distL="114300" distR="114300" simplePos="0" relativeHeight="251659264" behindDoc="0" locked="0" layoutInCell="1" allowOverlap="1" wp14:anchorId="4703D83C" wp14:editId="798B4F55">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6F9C334B" w14:textId="77777777" w:rsidR="00435106" w:rsidRPr="00256928" w:rsidRDefault="00435106" w:rsidP="00435106">
                          <w:pPr>
                            <w:spacing w:line="276" w:lineRule="auto"/>
                            <w:jc w:val="both"/>
                            <w:rPr>
                              <w:rFonts w:ascii="Helvetica" w:hAnsi="Helvetica"/>
                            </w:rPr>
                          </w:pPr>
                          <w:r w:rsidRPr="00256928">
                            <w:rPr>
                              <w:rFonts w:ascii="Helvetica" w:hAnsi="Helvetica"/>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435106" w:rsidRPr="009830D0" w14:paraId="601F53DC" w14:textId="77777777" w:rsidTr="00F263E8">
                            <w:tc>
                              <w:tcPr>
                                <w:tcW w:w="4703" w:type="dxa"/>
                              </w:tcPr>
                              <w:p w14:paraId="5668BAEE" w14:textId="77777777" w:rsidR="00435106" w:rsidRPr="009830D0" w:rsidRDefault="00435106" w:rsidP="009830D0">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AD831E1" w14:textId="77777777" w:rsidR="00435106" w:rsidRPr="009830D0" w:rsidRDefault="00435106" w:rsidP="009830D0">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22FE2A0E" w14:textId="77777777" w:rsidR="00435106" w:rsidRPr="009830D0" w:rsidRDefault="00435106" w:rsidP="009830D0">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0BA02019" w14:textId="77777777" w:rsidR="00435106" w:rsidRPr="004F25ED" w:rsidRDefault="00435106" w:rsidP="009830D0">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18FC1DBA" w14:textId="77777777" w:rsidR="00435106" w:rsidRPr="004F25ED" w:rsidRDefault="00435106" w:rsidP="009830D0">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1B0D165B" w14:textId="77777777" w:rsidR="00435106" w:rsidRPr="009830D0" w:rsidRDefault="00435106" w:rsidP="00C8766C">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435106" w:rsidRPr="009830D0" w14:paraId="2C111874" w14:textId="77777777" w:rsidTr="00F263E8">
                            <w:tc>
                              <w:tcPr>
                                <w:tcW w:w="4703" w:type="dxa"/>
                              </w:tcPr>
                              <w:p w14:paraId="2CE0FE9B" w14:textId="77777777" w:rsidR="00435106" w:rsidRPr="009830D0" w:rsidRDefault="00435106" w:rsidP="009830D0">
                                <w:pPr>
                                  <w:spacing w:line="276" w:lineRule="auto"/>
                                  <w:jc w:val="both"/>
                                  <w:rPr>
                                    <w:rFonts w:ascii="Helvetica" w:hAnsi="Helvetica"/>
                                    <w:b/>
                                    <w:bCs/>
                                    <w:sz w:val="18"/>
                                    <w:szCs w:val="18"/>
                                  </w:rPr>
                                </w:pPr>
                              </w:p>
                            </w:tc>
                            <w:tc>
                              <w:tcPr>
                                <w:tcW w:w="6071" w:type="dxa"/>
                              </w:tcPr>
                              <w:p w14:paraId="4E94586C" w14:textId="77777777" w:rsidR="00435106" w:rsidRPr="009830D0" w:rsidRDefault="00435106" w:rsidP="009830D0">
                                <w:pPr>
                                  <w:spacing w:line="276" w:lineRule="auto"/>
                                  <w:jc w:val="both"/>
                                  <w:rPr>
                                    <w:rFonts w:ascii="Helvetica" w:hAnsi="Helvetica"/>
                                    <w:b/>
                                    <w:bCs/>
                                    <w:sz w:val="18"/>
                                    <w:szCs w:val="18"/>
                                  </w:rPr>
                                </w:pPr>
                              </w:p>
                            </w:tc>
                          </w:tr>
                        </w:tbl>
                        <w:p w14:paraId="26E3DF3A" w14:textId="77777777" w:rsidR="00435106" w:rsidRPr="00256928" w:rsidRDefault="00435106" w:rsidP="00435106">
                          <w:pPr>
                            <w:spacing w:line="276" w:lineRule="auto"/>
                            <w:jc w:val="both"/>
                            <w:rPr>
                              <w:rFonts w:ascii="Helvetica" w:hAnsi="Helveti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03D83C" id="_x0000_t202" coordsize="21600,21600" o:spt="202" path="m,l,21600r21600,l21600,xe">
              <v:stroke joinstyle="miter"/>
              <v:path gradientshapeok="t" o:connecttype="rect"/>
            </v:shapetype>
            <v:shape id="_x0000_s1027" type="#_x0000_t202" style="position:absolute;left:0;text-align:left;margin-left:12.45pt;margin-top:1.2pt;width:444pt;height:7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LGRQIAAIE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" filled="f" stroked="f" strokeweight=".5pt">
              <v:path arrowok="t"/>
              <v:textbox>
                <w:txbxContent>
                  <w:p w14:paraId="6F9C334B" w14:textId="77777777" w:rsidR="00435106" w:rsidRPr="00256928" w:rsidRDefault="00435106" w:rsidP="00435106">
                    <w:pPr>
                      <w:spacing w:line="276" w:lineRule="auto"/>
                      <w:jc w:val="both"/>
                      <w:rPr>
                        <w:rFonts w:ascii="Helvetica" w:hAnsi="Helvetica"/>
                      </w:rPr>
                    </w:pPr>
                    <w:r w:rsidRPr="00256928">
                      <w:rPr>
                        <w:rFonts w:ascii="Helvetica" w:hAnsi="Helvetica"/>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435106" w:rsidRPr="009830D0" w14:paraId="601F53DC" w14:textId="77777777" w:rsidTr="00F263E8">
                      <w:tc>
                        <w:tcPr>
                          <w:tcW w:w="4703" w:type="dxa"/>
                        </w:tcPr>
                        <w:p w14:paraId="5668BAEE" w14:textId="77777777" w:rsidR="00435106" w:rsidRPr="009830D0" w:rsidRDefault="00435106" w:rsidP="009830D0">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AD831E1" w14:textId="77777777" w:rsidR="00435106" w:rsidRPr="009830D0" w:rsidRDefault="00435106" w:rsidP="009830D0">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22FE2A0E" w14:textId="77777777" w:rsidR="00435106" w:rsidRPr="009830D0" w:rsidRDefault="00435106" w:rsidP="009830D0">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0BA02019" w14:textId="77777777" w:rsidR="00435106" w:rsidRPr="004F25ED" w:rsidRDefault="00435106" w:rsidP="009830D0">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18FC1DBA" w14:textId="77777777" w:rsidR="00435106" w:rsidRPr="004F25ED" w:rsidRDefault="00435106" w:rsidP="009830D0">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1B0D165B" w14:textId="77777777" w:rsidR="00435106" w:rsidRPr="009830D0" w:rsidRDefault="00435106" w:rsidP="00C8766C">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435106" w:rsidRPr="009830D0" w14:paraId="2C111874" w14:textId="77777777" w:rsidTr="00F263E8">
                      <w:tc>
                        <w:tcPr>
                          <w:tcW w:w="4703" w:type="dxa"/>
                        </w:tcPr>
                        <w:p w14:paraId="2CE0FE9B" w14:textId="77777777" w:rsidR="00435106" w:rsidRPr="009830D0" w:rsidRDefault="00435106" w:rsidP="009830D0">
                          <w:pPr>
                            <w:spacing w:line="276" w:lineRule="auto"/>
                            <w:jc w:val="both"/>
                            <w:rPr>
                              <w:rFonts w:ascii="Helvetica" w:hAnsi="Helvetica"/>
                              <w:b/>
                              <w:bCs/>
                              <w:sz w:val="18"/>
                              <w:szCs w:val="18"/>
                            </w:rPr>
                          </w:pPr>
                        </w:p>
                      </w:tc>
                      <w:tc>
                        <w:tcPr>
                          <w:tcW w:w="6071" w:type="dxa"/>
                        </w:tcPr>
                        <w:p w14:paraId="4E94586C" w14:textId="77777777" w:rsidR="00435106" w:rsidRPr="009830D0" w:rsidRDefault="00435106" w:rsidP="009830D0">
                          <w:pPr>
                            <w:spacing w:line="276" w:lineRule="auto"/>
                            <w:jc w:val="both"/>
                            <w:rPr>
                              <w:rFonts w:ascii="Helvetica" w:hAnsi="Helvetica"/>
                              <w:b/>
                              <w:bCs/>
                              <w:sz w:val="18"/>
                              <w:szCs w:val="18"/>
                            </w:rPr>
                          </w:pPr>
                        </w:p>
                      </w:tc>
                    </w:tr>
                  </w:tbl>
                  <w:p w14:paraId="26E3DF3A" w14:textId="77777777" w:rsidR="00435106" w:rsidRPr="00256928" w:rsidRDefault="00435106" w:rsidP="00435106">
                    <w:pPr>
                      <w:spacing w:line="276" w:lineRule="auto"/>
                      <w:jc w:val="both"/>
                      <w:rPr>
                        <w:rFonts w:ascii="Helvetica" w:hAnsi="Helvetica"/>
                      </w:rPr>
                    </w:pPr>
                  </w:p>
                </w:txbxContent>
              </v:textbox>
              <w10:wrap anchorx="margin"/>
            </v:shape>
          </w:pict>
        </mc:Fallback>
      </mc:AlternateContent>
    </w:r>
    <w:r>
      <w:t xml:space="preserve">Página | </w:t>
    </w:r>
    <w:r>
      <w:fldChar w:fldCharType="begin"/>
    </w:r>
    <w:r>
      <w:instrText>PAGE   \* MERGEFORMAT</w:instrText>
    </w:r>
    <w:r>
      <w:fldChar w:fldCharType="separate"/>
    </w:r>
    <w:r w:rsidR="00E13B5A">
      <w:rPr>
        <w:noProof/>
      </w:rPr>
      <w:t>1</w:t>
    </w:r>
    <w:r>
      <w:fldChar w:fldCharType="end"/>
    </w:r>
    <w:r>
      <w:t xml:space="preserve"> </w:t>
    </w:r>
  </w:p>
  <w:p w14:paraId="3BFE2169" w14:textId="77777777" w:rsidR="00435106" w:rsidRDefault="004351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EC68D" w14:textId="77777777" w:rsidR="00E13B5A" w:rsidRDefault="00E13B5A">
      <w:r>
        <w:separator/>
      </w:r>
    </w:p>
  </w:footnote>
  <w:footnote w:type="continuationSeparator" w:id="0">
    <w:p w14:paraId="4D575F12" w14:textId="77777777" w:rsidR="00E13B5A" w:rsidRDefault="00E13B5A">
      <w:r>
        <w:continuationSeparator/>
      </w:r>
    </w:p>
  </w:footnote>
  <w:footnote w:type="continuationNotice" w:id="1">
    <w:p w14:paraId="5B0F04DB" w14:textId="77777777" w:rsidR="00E13B5A" w:rsidRDefault="00E13B5A"/>
  </w:footnote>
  <w:footnote w:id="2">
    <w:p w14:paraId="1F001FA5" w14:textId="77777777" w:rsidR="00001F8D" w:rsidRPr="001B5A7B" w:rsidRDefault="00001F8D" w:rsidP="00001F8D">
      <w:pPr>
        <w:pStyle w:val="Textonotapie"/>
        <w:rPr>
          <w:rFonts w:cs="Arial"/>
          <w:sz w:val="16"/>
          <w:szCs w:val="16"/>
          <w:lang w:val="es-ES"/>
        </w:rPr>
      </w:pPr>
      <w:r w:rsidRPr="001B5A7B">
        <w:rPr>
          <w:rStyle w:val="Refdenotaalpie"/>
          <w:rFonts w:cs="Arial"/>
          <w:sz w:val="16"/>
          <w:szCs w:val="16"/>
        </w:rPr>
        <w:footnoteRef/>
      </w:r>
      <w:r w:rsidRPr="001B5A7B">
        <w:rPr>
          <w:rFonts w:cs="Arial"/>
          <w:sz w:val="16"/>
          <w:szCs w:val="16"/>
        </w:rPr>
        <w:t xml:space="preserve"> Artículo 338 Constitución Política. (…) La ley, las ordenanzas y los acuerdos pueden permitir que las autoridades fijen la tarifa de las tasas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 (…)</w:t>
      </w:r>
    </w:p>
  </w:footnote>
  <w:footnote w:id="3">
    <w:p w14:paraId="62CAB210" w14:textId="77777777" w:rsidR="00001F8D" w:rsidRPr="00914CBC" w:rsidRDefault="00001F8D" w:rsidP="00001F8D">
      <w:pPr>
        <w:pStyle w:val="Textonotapie"/>
        <w:rPr>
          <w:rFonts w:cs="Arial"/>
          <w:sz w:val="16"/>
          <w:szCs w:val="16"/>
          <w:lang w:val="es-ES"/>
        </w:rPr>
      </w:pPr>
      <w:r w:rsidRPr="00914CBC">
        <w:rPr>
          <w:rStyle w:val="Refdenotaalpie"/>
          <w:sz w:val="16"/>
          <w:szCs w:val="16"/>
        </w:rPr>
        <w:footnoteRef/>
      </w:r>
      <w:r w:rsidRPr="00914CBC">
        <w:rPr>
          <w:rFonts w:cs="Arial"/>
          <w:sz w:val="16"/>
          <w:szCs w:val="16"/>
        </w:rPr>
        <w:t xml:space="preserve"> Sentencia C-251 de 2002, MM.PP. Eduardo Montealegre Lynett y Clara Inés Vargas Hernández.</w:t>
      </w:r>
    </w:p>
  </w:footnote>
  <w:footnote w:id="4">
    <w:p w14:paraId="151E07B3" w14:textId="77777777" w:rsidR="00001F8D" w:rsidRPr="0049245B" w:rsidRDefault="00001F8D" w:rsidP="00001F8D">
      <w:pPr>
        <w:pStyle w:val="Textonotapie"/>
        <w:rPr>
          <w:rFonts w:cs="Arial"/>
          <w:sz w:val="16"/>
          <w:szCs w:val="16"/>
          <w:lang w:val="pt-PT"/>
        </w:rPr>
      </w:pPr>
      <w:r w:rsidRPr="00914CBC">
        <w:rPr>
          <w:rStyle w:val="Refdenotaalpie"/>
          <w:sz w:val="16"/>
          <w:szCs w:val="16"/>
        </w:rPr>
        <w:footnoteRef/>
      </w:r>
      <w:r w:rsidRPr="0049245B">
        <w:rPr>
          <w:rFonts w:cs="Arial"/>
          <w:sz w:val="16"/>
          <w:szCs w:val="16"/>
          <w:lang w:val="pt-PT"/>
        </w:rPr>
        <w:t xml:space="preserve"> Ibidem. Página 20. </w:t>
      </w:r>
    </w:p>
  </w:footnote>
  <w:footnote w:id="5">
    <w:p w14:paraId="3C1A297B" w14:textId="77777777" w:rsidR="00001F8D" w:rsidRPr="0049245B" w:rsidRDefault="00001F8D" w:rsidP="00001F8D">
      <w:pPr>
        <w:pStyle w:val="Textonotapie"/>
        <w:tabs>
          <w:tab w:val="left" w:pos="5805"/>
        </w:tabs>
        <w:rPr>
          <w:rFonts w:cs="Arial"/>
          <w:sz w:val="16"/>
          <w:szCs w:val="16"/>
          <w:lang w:val="pt-PT"/>
        </w:rPr>
      </w:pPr>
      <w:r w:rsidRPr="00914CBC">
        <w:rPr>
          <w:rStyle w:val="Refdenotaalpie"/>
          <w:sz w:val="16"/>
          <w:szCs w:val="16"/>
        </w:rPr>
        <w:footnoteRef/>
      </w:r>
      <w:r w:rsidRPr="0049245B">
        <w:rPr>
          <w:rFonts w:cs="Arial"/>
          <w:sz w:val="16"/>
          <w:szCs w:val="16"/>
          <w:lang w:val="pt-PT"/>
        </w:rPr>
        <w:t xml:space="preserve"> Sentencia C-155 de 2003 M.P Eduardo Montealegre Lynett.</w:t>
      </w:r>
      <w:r w:rsidRPr="0049245B">
        <w:rPr>
          <w:rFonts w:cs="Arial"/>
          <w:sz w:val="16"/>
          <w:szCs w:val="16"/>
          <w:lang w:val="pt-PT"/>
        </w:rPr>
        <w:tab/>
      </w:r>
    </w:p>
  </w:footnote>
  <w:footnote w:id="6">
    <w:p w14:paraId="52B62A26" w14:textId="77777777" w:rsidR="00001F8D" w:rsidRDefault="00001F8D" w:rsidP="00001F8D">
      <w:pPr>
        <w:pStyle w:val="Textonotapie"/>
        <w:rPr>
          <w:color w:val="E7E6E6"/>
          <w:sz w:val="16"/>
          <w:szCs w:val="16"/>
        </w:rPr>
      </w:pPr>
      <w:r>
        <w:rPr>
          <w:rStyle w:val="Refdenotaalpie"/>
        </w:rPr>
        <w:footnoteRef/>
      </w:r>
      <w:r>
        <w:t xml:space="preserve"> </w:t>
      </w:r>
      <w:r w:rsidRPr="00E726B9">
        <w:rPr>
          <w:sz w:val="16"/>
          <w:szCs w:val="16"/>
        </w:rPr>
        <w:t xml:space="preserve">Concepto Consejo de Estado Radicación Interna: </w:t>
      </w:r>
      <w:r w:rsidRPr="00AD70AB">
        <w:rPr>
          <w:rFonts w:cs="Arial"/>
          <w:sz w:val="16"/>
          <w:szCs w:val="16"/>
        </w:rPr>
        <w:t>interna11001-03-06-000-2014-00024-00, del 25 de Agosto del 2014, Consejero Ponente  Augusto Hernández Becerra</w:t>
      </w:r>
      <w:r w:rsidRPr="00E726B9">
        <w:rPr>
          <w:sz w:val="16"/>
          <w:szCs w:val="16"/>
        </w:rPr>
        <w:t xml:space="preserve"> pag. 11. En relación con la determinación de la tarifa, la regla general, conforme a los principios de legalidad y representación popular, es que sea fijada directamente por el Congreso de la República, las asambleas departamentales y los concejos municipales o distritales, en el caso de las tasas y las contribuciones, los referidos cuerpos colegiados puedan dejar en cabeza de las autoridades administrativas la determinación de las tarifas, siempre que la ley, las ordenanzas o los acuerdos establezcan el sistema y el método con el que deben establecerse los costos y los beneficios involucrados, así como la forma de efectuar su reparte entre los contribuyentes. </w:t>
      </w:r>
    </w:p>
  </w:footnote>
  <w:footnote w:id="7">
    <w:p w14:paraId="317BE52C" w14:textId="77777777" w:rsidR="00001F8D" w:rsidRPr="004F100A" w:rsidRDefault="00001F8D" w:rsidP="00001F8D">
      <w:pPr>
        <w:pStyle w:val="Textonotapie"/>
        <w:rPr>
          <w:sz w:val="16"/>
          <w:szCs w:val="16"/>
        </w:rPr>
      </w:pPr>
      <w:r>
        <w:rPr>
          <w:rStyle w:val="Refdenotaalpie"/>
        </w:rPr>
        <w:footnoteRef/>
      </w:r>
      <w:r>
        <w:t xml:space="preserve">Consejo De Estado. </w:t>
      </w:r>
      <w:r w:rsidRPr="004F100A">
        <w:rPr>
          <w:sz w:val="16"/>
          <w:szCs w:val="16"/>
        </w:rPr>
        <w:t>Radicación interna: 2199 Número Único: 11001-03-06-000-2014-00024-00</w:t>
      </w:r>
      <w:r>
        <w:rPr>
          <w:sz w:val="16"/>
          <w:szCs w:val="16"/>
        </w:rPr>
        <w:t>, pag. 11 y 12</w:t>
      </w:r>
    </w:p>
  </w:footnote>
  <w:footnote w:id="8">
    <w:p w14:paraId="79139C00"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cs="Arial"/>
          <w:sz w:val="16"/>
          <w:szCs w:val="16"/>
          <w:vertAlign w:val="superscript"/>
        </w:rPr>
        <w:footnoteRef/>
      </w:r>
      <w:r w:rsidRPr="001B5A7B">
        <w:rPr>
          <w:rFonts w:eastAsia="Arial" w:cs="Arial"/>
          <w:color w:val="000000"/>
          <w:sz w:val="16"/>
          <w:szCs w:val="16"/>
        </w:rPr>
        <w:t xml:space="preserve"> “A los curadores urbanos se les aplica en el ejercicio de sus funciones públicas y en lo pertinente, el régimen disciplinario de la Ley </w:t>
      </w:r>
      <w:hyperlink r:id="rId1" w:anchor="INICIO">
        <w:r w:rsidRPr="001B5A7B">
          <w:rPr>
            <w:rFonts w:eastAsia="Arial" w:cs="Arial"/>
            <w:color w:val="000000"/>
            <w:sz w:val="16"/>
            <w:szCs w:val="16"/>
            <w:u w:val="single"/>
          </w:rPr>
          <w:t>734</w:t>
        </w:r>
      </w:hyperlink>
      <w:r w:rsidRPr="001B5A7B">
        <w:rPr>
          <w:rFonts w:eastAsia="Arial" w:cs="Arial"/>
          <w:color w:val="000000"/>
          <w:sz w:val="16"/>
          <w:szCs w:val="16"/>
        </w:rPr>
        <w:t> de 2002 o la norma que la adicione, modifique o sustituya.”</w:t>
      </w:r>
    </w:p>
    <w:p w14:paraId="0054B619"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b/>
          <w:color w:val="000000"/>
          <w:sz w:val="16"/>
          <w:szCs w:val="16"/>
        </w:rPr>
        <w:t>“PARÁGRAFO.</w:t>
      </w:r>
      <w:r w:rsidRPr="001B5A7B">
        <w:rPr>
          <w:rFonts w:eastAsia="Arial" w:cs="Arial"/>
          <w:color w:val="000000"/>
          <w:sz w:val="16"/>
          <w:szCs w:val="16"/>
        </w:rPr>
        <w:t> De acuerdo con lo dispuesto en el artículo </w:t>
      </w:r>
      <w:hyperlink r:id="rId2" w:anchor="2">
        <w:r w:rsidRPr="001B5A7B">
          <w:rPr>
            <w:rFonts w:eastAsia="Arial" w:cs="Arial"/>
            <w:color w:val="000000"/>
            <w:sz w:val="16"/>
            <w:szCs w:val="16"/>
            <w:u w:val="single"/>
          </w:rPr>
          <w:t>2</w:t>
        </w:r>
      </w:hyperlink>
      <w:r w:rsidRPr="001B5A7B">
        <w:rPr>
          <w:rFonts w:eastAsia="Arial" w:cs="Arial"/>
          <w:color w:val="000000"/>
          <w:sz w:val="16"/>
          <w:szCs w:val="16"/>
        </w:rPr>
        <w:t>o de la Ley 734 de 2002 o la norma que la adicione, modifique o sustituya, la acción disciplinaria es independiente de cualquier otra que pueda surgir de la comisión de la falta, incluida la acción ético profesional que en virtud de la calidad profesional del Curador deba adelantar el Consejo Profesional Nacional de Arquitectura y sus Profesiones Auxiliares (CPNAA), el Consejo Profesional Nacional de Ingeniería (Copnia) o la entidad correspondiente.” Artículo 23 ley 1796 de 2016</w:t>
      </w:r>
    </w:p>
  </w:footnote>
  <w:footnote w:id="9">
    <w:p w14:paraId="4CDA8791"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cs="Arial"/>
          <w:sz w:val="16"/>
          <w:szCs w:val="16"/>
          <w:vertAlign w:val="superscript"/>
        </w:rPr>
        <w:footnoteRef/>
      </w:r>
      <w:r w:rsidRPr="001B5A7B">
        <w:rPr>
          <w:rFonts w:eastAsia="Arial" w:cs="Arial"/>
          <w:color w:val="000000"/>
          <w:sz w:val="16"/>
          <w:szCs w:val="16"/>
        </w:rPr>
        <w:t xml:space="preserve"> “…Además de las funciones previstas en la ley, serán atribuciones de la Superintendencia de Notariado y Registro en relación con los curadores urbanos las siguientes:”</w:t>
      </w:r>
    </w:p>
    <w:p w14:paraId="768F9F23"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color w:val="000000"/>
          <w:sz w:val="16"/>
          <w:szCs w:val="16"/>
        </w:rPr>
        <w:t>“1. Fijar las directrices del concurso para la designación de curadores urbanos, en cuanto a, entre otros, la forma de acreditar los requisitos, la fecha y lugar de realización del concurso y el cronograma respectivo.</w:t>
      </w:r>
    </w:p>
    <w:p w14:paraId="7ED90BA8"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color w:val="000000"/>
          <w:sz w:val="16"/>
          <w:szCs w:val="16"/>
        </w:rPr>
        <w:t>“2. Tramitar y hacer seguimiento a las peticiones, quejas y reclamos que formulen los usuarios en relación con el servicio de los curadores urbanos.</w:t>
      </w:r>
    </w:p>
    <w:p w14:paraId="67A1154E"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color w:val="000000"/>
          <w:sz w:val="16"/>
          <w:szCs w:val="16"/>
        </w:rPr>
        <w:t>“3. En cualquier momento, de manera oficiosa o a petición de las entidades de control, adelantar los procesos disciplinarios a los curadores urbanos, a través de la Superintendencia Delegada para Curadores Urbanos, según lo dispuesto en la presente ley.</w:t>
      </w:r>
    </w:p>
    <w:p w14:paraId="29BB331E"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color w:val="000000"/>
          <w:sz w:val="16"/>
          <w:szCs w:val="16"/>
        </w:rPr>
        <w:t>“4. Imponer sanciones a los curadores urbanos, sin perjuicio del poder preferente de la Procuraduría General de la Nación en asuntos disciplinarios. En primera instancia por la Superintendencia Delegada para Curadores Urbanos y en segunda instancia por el Superintendente de Notariado y Registro.</w:t>
      </w:r>
    </w:p>
    <w:p w14:paraId="0DA4E150"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color w:val="000000"/>
          <w:sz w:val="16"/>
          <w:szCs w:val="16"/>
        </w:rPr>
        <w:t>“5. Realizar visitas generales y/o especiales a los curadores urbanos, en materia de vigilancia preventiva.</w:t>
      </w:r>
    </w:p>
    <w:p w14:paraId="0964849F"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color w:val="000000"/>
          <w:sz w:val="16"/>
          <w:szCs w:val="16"/>
        </w:rPr>
        <w:t>“6. Ordenar medidas necesarias para subsanar o prevenir irregularidades o situaciones anormales.</w:t>
      </w:r>
    </w:p>
    <w:p w14:paraId="704070F8"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eastAsia="Arial" w:cs="Arial"/>
          <w:color w:val="000000"/>
          <w:sz w:val="16"/>
          <w:szCs w:val="16"/>
        </w:rPr>
        <w:t>“7. Solicitar información y realizar visitas de inspección.” Artículo 20 ley 1796 de 2016.</w:t>
      </w:r>
    </w:p>
  </w:footnote>
  <w:footnote w:id="10">
    <w:p w14:paraId="733AD68C" w14:textId="77777777" w:rsidR="00001F8D" w:rsidRPr="001B5A7B" w:rsidRDefault="00001F8D" w:rsidP="00001F8D">
      <w:pPr>
        <w:pBdr>
          <w:top w:val="nil"/>
          <w:left w:val="nil"/>
          <w:bottom w:val="nil"/>
          <w:right w:val="nil"/>
          <w:between w:val="nil"/>
        </w:pBdr>
        <w:rPr>
          <w:rFonts w:eastAsia="Arial" w:cs="Arial"/>
          <w:color w:val="000000"/>
          <w:sz w:val="16"/>
          <w:szCs w:val="16"/>
        </w:rPr>
      </w:pPr>
      <w:r w:rsidRPr="001B5A7B">
        <w:rPr>
          <w:rFonts w:cs="Arial"/>
          <w:sz w:val="16"/>
          <w:szCs w:val="16"/>
          <w:vertAlign w:val="superscript"/>
        </w:rPr>
        <w:footnoteRef/>
      </w:r>
      <w:r w:rsidRPr="001B5A7B">
        <w:rPr>
          <w:rFonts w:eastAsia="Arial" w:cs="Arial"/>
          <w:color w:val="000000"/>
          <w:sz w:val="16"/>
          <w:szCs w:val="16"/>
        </w:rPr>
        <w:t xml:space="preserve"> Artículos 20, 23, 28 y 29 de la ley 1796 de 2016.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FEF7D" w14:textId="77777777" w:rsidR="004664FD" w:rsidRDefault="004664FD">
    <w:pPr>
      <w:pStyle w:val="Encabezado"/>
    </w:pPr>
  </w:p>
  <w:tbl>
    <w:tblPr>
      <w:tblW w:w="10798" w:type="dxa"/>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9"/>
      <w:gridCol w:w="4219"/>
    </w:tblGrid>
    <w:tr w:rsidR="004664FD" w14:paraId="5A5EA6AC" w14:textId="77777777" w:rsidTr="009730EE">
      <w:tc>
        <w:tcPr>
          <w:tcW w:w="6579" w:type="dxa"/>
        </w:tcPr>
        <w:p w14:paraId="7B29824A" w14:textId="709C7283" w:rsidR="004664FD" w:rsidRDefault="009730EE" w:rsidP="009730EE">
          <w:pPr>
            <w:pStyle w:val="Encabezado"/>
            <w:jc w:val="right"/>
          </w:pPr>
          <w:r>
            <w:rPr>
              <w:noProof/>
              <w:lang w:val="es-CO" w:eastAsia="es-CO"/>
            </w:rPr>
            <w:drawing>
              <wp:inline distT="0" distB="0" distL="0" distR="0" wp14:anchorId="3CE21083" wp14:editId="47A0546C">
                <wp:extent cx="1828800" cy="1022350"/>
                <wp:effectExtent l="0" t="0" r="0" b="6350"/>
                <wp:docPr id="1"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4219" w:type="dxa"/>
          <w:vAlign w:val="center"/>
        </w:tcPr>
        <w:p w14:paraId="027840E8" w14:textId="27F53335" w:rsidR="004664FD" w:rsidRDefault="00001F8D" w:rsidP="00EA04C3">
          <w:pPr>
            <w:pStyle w:val="Ttulo2"/>
            <w:ind w:left="72" w:right="72"/>
          </w:pPr>
          <w:r>
            <w:rPr>
              <w:rFonts w:cs="Arial"/>
              <w:bCs/>
              <w:color w:val="000000"/>
              <w:sz w:val="24"/>
              <w:szCs w:val="24"/>
            </w:rPr>
            <w:t>EXPO</w:t>
          </w:r>
          <w:r w:rsidR="004D66E6">
            <w:rPr>
              <w:rFonts w:cs="Arial"/>
              <w:bCs/>
              <w:color w:val="000000"/>
              <w:sz w:val="24"/>
              <w:szCs w:val="24"/>
            </w:rPr>
            <w:t>S</w:t>
          </w:r>
          <w:r>
            <w:rPr>
              <w:rFonts w:cs="Arial"/>
              <w:bCs/>
              <w:color w:val="000000"/>
              <w:sz w:val="24"/>
              <w:szCs w:val="24"/>
            </w:rPr>
            <w:t>I</w:t>
          </w:r>
          <w:r w:rsidR="004D66E6">
            <w:rPr>
              <w:rFonts w:cs="Arial"/>
              <w:bCs/>
              <w:color w:val="000000"/>
              <w:sz w:val="24"/>
              <w:szCs w:val="24"/>
            </w:rPr>
            <w:t>C</w:t>
          </w:r>
          <w:r>
            <w:rPr>
              <w:rFonts w:cs="Arial"/>
              <w:bCs/>
              <w:color w:val="000000"/>
              <w:sz w:val="24"/>
              <w:szCs w:val="24"/>
            </w:rPr>
            <w:t>IÓN DE MOTIVOS</w:t>
          </w:r>
        </w:p>
      </w:tc>
    </w:tr>
  </w:tbl>
  <w:p w14:paraId="769D0D3C" w14:textId="77777777" w:rsidR="004664FD" w:rsidRDefault="004664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98" w:type="dxa"/>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3"/>
      <w:gridCol w:w="3935"/>
    </w:tblGrid>
    <w:tr w:rsidR="004664FD" w14:paraId="040FC5E1" w14:textId="77777777" w:rsidTr="00435106">
      <w:tc>
        <w:tcPr>
          <w:tcW w:w="6863" w:type="dxa"/>
        </w:tcPr>
        <w:p w14:paraId="7B6F4653" w14:textId="2AEBFC79" w:rsidR="004664FD" w:rsidRDefault="00435106" w:rsidP="00435106">
          <w:pPr>
            <w:pStyle w:val="Encabezado"/>
            <w:jc w:val="right"/>
          </w:pPr>
          <w:r>
            <w:rPr>
              <w:noProof/>
              <w:lang w:val="es-CO" w:eastAsia="es-CO"/>
            </w:rPr>
            <w:drawing>
              <wp:inline distT="0" distB="0" distL="0" distR="0" wp14:anchorId="3A416554" wp14:editId="79D92A45">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3935" w:type="dxa"/>
          <w:vAlign w:val="center"/>
        </w:tcPr>
        <w:p w14:paraId="76E9D7FC" w14:textId="08F19BB2" w:rsidR="004664FD" w:rsidRDefault="003F097C" w:rsidP="00EA04C3">
          <w:pPr>
            <w:pStyle w:val="Ttulo2"/>
            <w:ind w:left="72" w:right="72"/>
          </w:pPr>
          <w:r>
            <w:rPr>
              <w:rFonts w:cs="Arial"/>
              <w:bCs/>
              <w:color w:val="000000"/>
              <w:sz w:val="24"/>
              <w:szCs w:val="24"/>
            </w:rPr>
            <w:t>EXPOSICIÓN DE MOTIVOS</w:t>
          </w:r>
        </w:p>
      </w:tc>
    </w:tr>
  </w:tbl>
  <w:p w14:paraId="6B62F1B3" w14:textId="77777777" w:rsidR="004664FD" w:rsidRDefault="004664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5169D"/>
    <w:multiLevelType w:val="hybridMultilevel"/>
    <w:tmpl w:val="42345A06"/>
    <w:lvl w:ilvl="0" w:tplc="ADBEE840">
      <w:start w:val="1"/>
      <w:numFmt w:val="bullet"/>
      <w:lvlText w:val=""/>
      <w:lvlJc w:val="left"/>
      <w:pPr>
        <w:ind w:left="720" w:hanging="360"/>
      </w:pPr>
      <w:rPr>
        <w:rFonts w:ascii="Symbol" w:hAnsi="Symbol" w:hint="default"/>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8F7A19"/>
    <w:multiLevelType w:val="hybridMultilevel"/>
    <w:tmpl w:val="A6E092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A285190"/>
    <w:multiLevelType w:val="hybridMultilevel"/>
    <w:tmpl w:val="AC223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AE4D4D"/>
    <w:multiLevelType w:val="hybridMultilevel"/>
    <w:tmpl w:val="CEFE7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C26462B"/>
    <w:multiLevelType w:val="multilevel"/>
    <w:tmpl w:val="51E070E2"/>
    <w:lvl w:ilvl="0">
      <w:start w:val="8"/>
      <w:numFmt w:val="decimal"/>
      <w:lvlText w:val="%1."/>
      <w:lvlJc w:val="left"/>
      <w:pPr>
        <w:ind w:left="600" w:hanging="600"/>
      </w:pPr>
      <w:rPr>
        <w:rFonts w:hint="default"/>
        <w:b/>
        <w:i w:val="0"/>
        <w:color w:val="auto"/>
        <w:sz w:val="24"/>
      </w:rPr>
    </w:lvl>
    <w:lvl w:ilvl="1">
      <w:start w:val="6"/>
      <w:numFmt w:val="decimal"/>
      <w:lvlText w:val="%1.%2."/>
      <w:lvlJc w:val="left"/>
      <w:pPr>
        <w:ind w:left="600" w:hanging="600"/>
      </w:pPr>
      <w:rPr>
        <w:rFonts w:hint="default"/>
        <w:b/>
        <w:i w:val="0"/>
        <w:color w:val="auto"/>
        <w:sz w:val="24"/>
      </w:rPr>
    </w:lvl>
    <w:lvl w:ilvl="2">
      <w:start w:val="2"/>
      <w:numFmt w:val="decimal"/>
      <w:lvlText w:val="%1.%2.%3."/>
      <w:lvlJc w:val="left"/>
      <w:pPr>
        <w:ind w:left="720" w:hanging="720"/>
      </w:pPr>
      <w:rPr>
        <w:rFonts w:hint="default"/>
        <w:b/>
        <w:i w:val="0"/>
        <w:color w:val="auto"/>
        <w:sz w:val="24"/>
      </w:rPr>
    </w:lvl>
    <w:lvl w:ilvl="3">
      <w:start w:val="1"/>
      <w:numFmt w:val="decimal"/>
      <w:lvlText w:val="%1.%2.%3.%4."/>
      <w:lvlJc w:val="left"/>
      <w:pPr>
        <w:ind w:left="720" w:hanging="720"/>
      </w:pPr>
      <w:rPr>
        <w:rFonts w:hint="default"/>
        <w:b/>
        <w:i w:val="0"/>
        <w:color w:val="auto"/>
        <w:sz w:val="24"/>
      </w:rPr>
    </w:lvl>
    <w:lvl w:ilvl="4">
      <w:start w:val="1"/>
      <w:numFmt w:val="decimal"/>
      <w:lvlText w:val="%1.%2.%3.%4.%5."/>
      <w:lvlJc w:val="left"/>
      <w:pPr>
        <w:ind w:left="1080" w:hanging="1080"/>
      </w:pPr>
      <w:rPr>
        <w:rFonts w:hint="default"/>
        <w:b/>
        <w:i w:val="0"/>
        <w:color w:val="auto"/>
        <w:sz w:val="24"/>
      </w:rPr>
    </w:lvl>
    <w:lvl w:ilvl="5">
      <w:start w:val="1"/>
      <w:numFmt w:val="decimal"/>
      <w:lvlText w:val="%1.%2.%3.%4.%5.%6."/>
      <w:lvlJc w:val="left"/>
      <w:pPr>
        <w:ind w:left="1080" w:hanging="1080"/>
      </w:pPr>
      <w:rPr>
        <w:rFonts w:hint="default"/>
        <w:b/>
        <w:i w:val="0"/>
        <w:color w:val="auto"/>
        <w:sz w:val="24"/>
      </w:rPr>
    </w:lvl>
    <w:lvl w:ilvl="6">
      <w:start w:val="1"/>
      <w:numFmt w:val="decimal"/>
      <w:lvlText w:val="%1.%2.%3.%4.%5.%6.%7."/>
      <w:lvlJc w:val="left"/>
      <w:pPr>
        <w:ind w:left="1080" w:hanging="1080"/>
      </w:pPr>
      <w:rPr>
        <w:rFonts w:hint="default"/>
        <w:b/>
        <w:i w:val="0"/>
        <w:color w:val="auto"/>
        <w:sz w:val="24"/>
      </w:rPr>
    </w:lvl>
    <w:lvl w:ilvl="7">
      <w:start w:val="1"/>
      <w:numFmt w:val="decimal"/>
      <w:lvlText w:val="%1.%2.%3.%4.%5.%6.%7.%8."/>
      <w:lvlJc w:val="left"/>
      <w:pPr>
        <w:ind w:left="1440" w:hanging="1440"/>
      </w:pPr>
      <w:rPr>
        <w:rFonts w:hint="default"/>
        <w:b/>
        <w:i w:val="0"/>
        <w:color w:val="auto"/>
        <w:sz w:val="24"/>
      </w:rPr>
    </w:lvl>
    <w:lvl w:ilvl="8">
      <w:start w:val="1"/>
      <w:numFmt w:val="decimal"/>
      <w:lvlText w:val="%1.%2.%3.%4.%5.%6.%7.%8.%9."/>
      <w:lvlJc w:val="left"/>
      <w:pPr>
        <w:ind w:left="1440" w:hanging="1440"/>
      </w:pPr>
      <w:rPr>
        <w:rFonts w:hint="default"/>
        <w:b/>
        <w:i w:val="0"/>
        <w:color w:val="auto"/>
        <w:sz w:val="24"/>
      </w:rPr>
    </w:lvl>
  </w:abstractNum>
  <w:abstractNum w:abstractNumId="5" w15:restartNumberingAfterBreak="0">
    <w:nsid w:val="0EEF12C6"/>
    <w:multiLevelType w:val="hybridMultilevel"/>
    <w:tmpl w:val="CE74B79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11EC44C6"/>
    <w:multiLevelType w:val="hybridMultilevel"/>
    <w:tmpl w:val="793098F0"/>
    <w:lvl w:ilvl="0" w:tplc="240A000D">
      <w:start w:val="1"/>
      <w:numFmt w:val="bullet"/>
      <w:lvlText w:val=""/>
      <w:lvlJc w:val="left"/>
      <w:pPr>
        <w:ind w:left="1320" w:hanging="360"/>
      </w:pPr>
      <w:rPr>
        <w:rFonts w:ascii="Wingdings" w:hAnsi="Wingdings" w:hint="default"/>
      </w:rPr>
    </w:lvl>
    <w:lvl w:ilvl="1" w:tplc="240A0003" w:tentative="1">
      <w:start w:val="1"/>
      <w:numFmt w:val="bullet"/>
      <w:lvlText w:val="o"/>
      <w:lvlJc w:val="left"/>
      <w:pPr>
        <w:ind w:left="2040" w:hanging="360"/>
      </w:pPr>
      <w:rPr>
        <w:rFonts w:ascii="Courier New" w:hAnsi="Courier New" w:cs="Courier New" w:hint="default"/>
      </w:rPr>
    </w:lvl>
    <w:lvl w:ilvl="2" w:tplc="240A0005" w:tentative="1">
      <w:start w:val="1"/>
      <w:numFmt w:val="bullet"/>
      <w:lvlText w:val=""/>
      <w:lvlJc w:val="left"/>
      <w:pPr>
        <w:ind w:left="2760" w:hanging="360"/>
      </w:pPr>
      <w:rPr>
        <w:rFonts w:ascii="Wingdings" w:hAnsi="Wingdings" w:hint="default"/>
      </w:rPr>
    </w:lvl>
    <w:lvl w:ilvl="3" w:tplc="240A0001" w:tentative="1">
      <w:start w:val="1"/>
      <w:numFmt w:val="bullet"/>
      <w:lvlText w:val=""/>
      <w:lvlJc w:val="left"/>
      <w:pPr>
        <w:ind w:left="3480" w:hanging="360"/>
      </w:pPr>
      <w:rPr>
        <w:rFonts w:ascii="Symbol" w:hAnsi="Symbol" w:hint="default"/>
      </w:rPr>
    </w:lvl>
    <w:lvl w:ilvl="4" w:tplc="240A0003" w:tentative="1">
      <w:start w:val="1"/>
      <w:numFmt w:val="bullet"/>
      <w:lvlText w:val="o"/>
      <w:lvlJc w:val="left"/>
      <w:pPr>
        <w:ind w:left="4200" w:hanging="360"/>
      </w:pPr>
      <w:rPr>
        <w:rFonts w:ascii="Courier New" w:hAnsi="Courier New" w:cs="Courier New" w:hint="default"/>
      </w:rPr>
    </w:lvl>
    <w:lvl w:ilvl="5" w:tplc="240A0005" w:tentative="1">
      <w:start w:val="1"/>
      <w:numFmt w:val="bullet"/>
      <w:lvlText w:val=""/>
      <w:lvlJc w:val="left"/>
      <w:pPr>
        <w:ind w:left="4920" w:hanging="360"/>
      </w:pPr>
      <w:rPr>
        <w:rFonts w:ascii="Wingdings" w:hAnsi="Wingdings" w:hint="default"/>
      </w:rPr>
    </w:lvl>
    <w:lvl w:ilvl="6" w:tplc="240A0001" w:tentative="1">
      <w:start w:val="1"/>
      <w:numFmt w:val="bullet"/>
      <w:lvlText w:val=""/>
      <w:lvlJc w:val="left"/>
      <w:pPr>
        <w:ind w:left="5640" w:hanging="360"/>
      </w:pPr>
      <w:rPr>
        <w:rFonts w:ascii="Symbol" w:hAnsi="Symbol" w:hint="default"/>
      </w:rPr>
    </w:lvl>
    <w:lvl w:ilvl="7" w:tplc="240A0003" w:tentative="1">
      <w:start w:val="1"/>
      <w:numFmt w:val="bullet"/>
      <w:lvlText w:val="o"/>
      <w:lvlJc w:val="left"/>
      <w:pPr>
        <w:ind w:left="6360" w:hanging="360"/>
      </w:pPr>
      <w:rPr>
        <w:rFonts w:ascii="Courier New" w:hAnsi="Courier New" w:cs="Courier New" w:hint="default"/>
      </w:rPr>
    </w:lvl>
    <w:lvl w:ilvl="8" w:tplc="240A0005" w:tentative="1">
      <w:start w:val="1"/>
      <w:numFmt w:val="bullet"/>
      <w:lvlText w:val=""/>
      <w:lvlJc w:val="left"/>
      <w:pPr>
        <w:ind w:left="7080" w:hanging="360"/>
      </w:pPr>
      <w:rPr>
        <w:rFonts w:ascii="Wingdings" w:hAnsi="Wingdings" w:hint="default"/>
      </w:rPr>
    </w:lvl>
  </w:abstractNum>
  <w:abstractNum w:abstractNumId="7" w15:restartNumberingAfterBreak="0">
    <w:nsid w:val="122C6899"/>
    <w:multiLevelType w:val="hybridMultilevel"/>
    <w:tmpl w:val="E27089B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15B31AFB"/>
    <w:multiLevelType w:val="hybridMultilevel"/>
    <w:tmpl w:val="634CCDE6"/>
    <w:lvl w:ilvl="0" w:tplc="0C0A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CD62DD"/>
    <w:multiLevelType w:val="hybridMultilevel"/>
    <w:tmpl w:val="86B8CD4A"/>
    <w:lvl w:ilvl="0" w:tplc="FFFFFFFF">
      <w:start w:val="1"/>
      <w:numFmt w:val="decimal"/>
      <w:lvlText w:val="%1."/>
      <w:lvlJc w:val="left"/>
      <w:pPr>
        <w:ind w:left="644" w:hanging="360"/>
      </w:pPr>
      <w:rPr>
        <w:rFonts w:ascii="Arial" w:hAnsi="Arial" w:cs="Times New Roman" w:hint="default"/>
        <w:b w:val="0"/>
        <w:i w:val="0"/>
        <w:sz w:val="22"/>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2955EFB"/>
    <w:multiLevelType w:val="multilevel"/>
    <w:tmpl w:val="069E57B0"/>
    <w:lvl w:ilvl="0">
      <w:start w:val="2"/>
      <w:numFmt w:val="decimal"/>
      <w:lvlText w:val="%1."/>
      <w:lvlJc w:val="left"/>
      <w:pPr>
        <w:ind w:left="390" w:hanging="39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5A573B0"/>
    <w:multiLevelType w:val="hybridMultilevel"/>
    <w:tmpl w:val="4EBCE2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D50893"/>
    <w:multiLevelType w:val="hybridMultilevel"/>
    <w:tmpl w:val="61B01AF0"/>
    <w:lvl w:ilvl="0" w:tplc="C472F652">
      <w:start w:val="5"/>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A55038"/>
    <w:multiLevelType w:val="multilevel"/>
    <w:tmpl w:val="6186E85C"/>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A70B29"/>
    <w:multiLevelType w:val="multilevel"/>
    <w:tmpl w:val="49F0F7C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AF10FAC"/>
    <w:multiLevelType w:val="hybridMultilevel"/>
    <w:tmpl w:val="8F74C49E"/>
    <w:lvl w:ilvl="0" w:tplc="A9A462B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C8D575C"/>
    <w:multiLevelType w:val="hybridMultilevel"/>
    <w:tmpl w:val="B10A6A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CD5324E"/>
    <w:multiLevelType w:val="hybridMultilevel"/>
    <w:tmpl w:val="450AF604"/>
    <w:lvl w:ilvl="0" w:tplc="AABEBDA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2D707065"/>
    <w:multiLevelType w:val="multilevel"/>
    <w:tmpl w:val="4448CCA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3B71D8"/>
    <w:multiLevelType w:val="hybridMultilevel"/>
    <w:tmpl w:val="7ADCCB2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3472451B"/>
    <w:multiLevelType w:val="hybridMultilevel"/>
    <w:tmpl w:val="2886F4B8"/>
    <w:lvl w:ilvl="0" w:tplc="FFFFFFFF">
      <w:start w:val="1"/>
      <w:numFmt w:val="decimal"/>
      <w:lvlText w:val="%1."/>
      <w:lvlJc w:val="left"/>
      <w:pPr>
        <w:ind w:left="720" w:hanging="360"/>
      </w:pPr>
      <w:rPr>
        <w:rFonts w:eastAsia="MS Mincho"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CB1DB8"/>
    <w:multiLevelType w:val="hybridMultilevel"/>
    <w:tmpl w:val="A7FA9C24"/>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C9D16A8"/>
    <w:multiLevelType w:val="hybridMultilevel"/>
    <w:tmpl w:val="CD667B2E"/>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23" w15:restartNumberingAfterBreak="0">
    <w:nsid w:val="403E45CF"/>
    <w:multiLevelType w:val="multilevel"/>
    <w:tmpl w:val="9C1C4FFE"/>
    <w:lvl w:ilvl="0">
      <w:start w:val="2"/>
      <w:numFmt w:val="decimal"/>
      <w:lvlText w:val="%1."/>
      <w:lvlJc w:val="left"/>
      <w:pPr>
        <w:ind w:left="390" w:hanging="390"/>
      </w:pPr>
      <w:rPr>
        <w:rFonts w:hint="default"/>
      </w:rPr>
    </w:lvl>
    <w:lvl w:ilvl="1">
      <w:start w:val="3"/>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6097DC4"/>
    <w:multiLevelType w:val="hybridMultilevel"/>
    <w:tmpl w:val="812AC08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D3659C1"/>
    <w:multiLevelType w:val="hybridMultilevel"/>
    <w:tmpl w:val="4EBCE2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633D0A"/>
    <w:multiLevelType w:val="hybridMultilevel"/>
    <w:tmpl w:val="68DC35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86E4391"/>
    <w:multiLevelType w:val="hybridMultilevel"/>
    <w:tmpl w:val="AC36268E"/>
    <w:lvl w:ilvl="0" w:tplc="240A000D">
      <w:start w:val="1"/>
      <w:numFmt w:val="bullet"/>
      <w:lvlText w:val=""/>
      <w:lvlJc w:val="left"/>
      <w:pPr>
        <w:ind w:left="720" w:hanging="360"/>
      </w:pPr>
      <w:rPr>
        <w:rFonts w:ascii="Wingdings" w:hAnsi="Wingdings" w:hint="default"/>
      </w:rPr>
    </w:lvl>
    <w:lvl w:ilvl="1" w:tplc="9F4EF01C">
      <w:start w:val="1"/>
      <w:numFmt w:val="lowerLetter"/>
      <w:lvlText w:val="%2."/>
      <w:lvlJc w:val="left"/>
      <w:pPr>
        <w:ind w:left="1440" w:hanging="360"/>
      </w:pPr>
    </w:lvl>
    <w:lvl w:ilvl="2" w:tplc="08EA4064">
      <w:start w:val="1"/>
      <w:numFmt w:val="lowerRoman"/>
      <w:lvlText w:val="%3."/>
      <w:lvlJc w:val="right"/>
      <w:pPr>
        <w:ind w:left="2160" w:hanging="180"/>
      </w:pPr>
    </w:lvl>
    <w:lvl w:ilvl="3" w:tplc="BB3EC1F4">
      <w:start w:val="1"/>
      <w:numFmt w:val="decimal"/>
      <w:lvlText w:val="%4."/>
      <w:lvlJc w:val="left"/>
      <w:pPr>
        <w:ind w:left="2880" w:hanging="360"/>
      </w:pPr>
    </w:lvl>
    <w:lvl w:ilvl="4" w:tplc="38DA7F12">
      <w:start w:val="1"/>
      <w:numFmt w:val="lowerLetter"/>
      <w:lvlText w:val="%5."/>
      <w:lvlJc w:val="left"/>
      <w:pPr>
        <w:ind w:left="3600" w:hanging="360"/>
      </w:pPr>
    </w:lvl>
    <w:lvl w:ilvl="5" w:tplc="78FA8174">
      <w:start w:val="1"/>
      <w:numFmt w:val="lowerRoman"/>
      <w:lvlText w:val="%6."/>
      <w:lvlJc w:val="right"/>
      <w:pPr>
        <w:ind w:left="4320" w:hanging="180"/>
      </w:pPr>
    </w:lvl>
    <w:lvl w:ilvl="6" w:tplc="C7743016">
      <w:start w:val="1"/>
      <w:numFmt w:val="decimal"/>
      <w:lvlText w:val="%7."/>
      <w:lvlJc w:val="left"/>
      <w:pPr>
        <w:ind w:left="5040" w:hanging="360"/>
      </w:pPr>
    </w:lvl>
    <w:lvl w:ilvl="7" w:tplc="47480922">
      <w:start w:val="1"/>
      <w:numFmt w:val="lowerLetter"/>
      <w:lvlText w:val="%8."/>
      <w:lvlJc w:val="left"/>
      <w:pPr>
        <w:ind w:left="5760" w:hanging="360"/>
      </w:pPr>
    </w:lvl>
    <w:lvl w:ilvl="8" w:tplc="C0F05D0A">
      <w:start w:val="1"/>
      <w:numFmt w:val="lowerRoman"/>
      <w:lvlText w:val="%9."/>
      <w:lvlJc w:val="right"/>
      <w:pPr>
        <w:ind w:left="6480" w:hanging="180"/>
      </w:pPr>
    </w:lvl>
  </w:abstractNum>
  <w:abstractNum w:abstractNumId="29" w15:restartNumberingAfterBreak="0">
    <w:nsid w:val="61AB1A3F"/>
    <w:multiLevelType w:val="multilevel"/>
    <w:tmpl w:val="8C50488A"/>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6871FDF"/>
    <w:multiLevelType w:val="hybridMultilevel"/>
    <w:tmpl w:val="8B0CCE20"/>
    <w:lvl w:ilvl="0" w:tplc="8E54B63C">
      <w:start w:val="1"/>
      <w:numFmt w:val="decimal"/>
      <w:lvlText w:val="%1."/>
      <w:lvlJc w:val="left"/>
      <w:pPr>
        <w:ind w:left="1065" w:hanging="360"/>
      </w:pPr>
      <w:rPr>
        <w:rFonts w:hint="default"/>
        <w:color w:val="auto"/>
      </w:rPr>
    </w:lvl>
    <w:lvl w:ilvl="1" w:tplc="240A0019" w:tentative="1">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31" w15:restartNumberingAfterBreak="0">
    <w:nsid w:val="67C40C23"/>
    <w:multiLevelType w:val="hybridMultilevel"/>
    <w:tmpl w:val="4EBCE2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ABD1F08"/>
    <w:multiLevelType w:val="multilevel"/>
    <w:tmpl w:val="6520DA82"/>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52209C"/>
    <w:multiLevelType w:val="hybridMultilevel"/>
    <w:tmpl w:val="76842DE2"/>
    <w:lvl w:ilvl="0" w:tplc="240A000D">
      <w:start w:val="1"/>
      <w:numFmt w:val="bullet"/>
      <w:lvlText w:val=""/>
      <w:lvlJc w:val="left"/>
      <w:pPr>
        <w:ind w:left="720" w:hanging="360"/>
      </w:pPr>
      <w:rPr>
        <w:rFonts w:ascii="Wingdings" w:hAnsi="Wingding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0D70B2"/>
    <w:multiLevelType w:val="hybridMultilevel"/>
    <w:tmpl w:val="729E928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1692ACE"/>
    <w:multiLevelType w:val="hybridMultilevel"/>
    <w:tmpl w:val="9454CA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7B40B0A"/>
    <w:multiLevelType w:val="hybridMultilevel"/>
    <w:tmpl w:val="8CF293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8E40D36"/>
    <w:multiLevelType w:val="hybridMultilevel"/>
    <w:tmpl w:val="BF7EDE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C465415"/>
    <w:multiLevelType w:val="hybridMultilevel"/>
    <w:tmpl w:val="EE3E7280"/>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DD47A6D"/>
    <w:multiLevelType w:val="hybridMultilevel"/>
    <w:tmpl w:val="7660A95C"/>
    <w:lvl w:ilvl="0" w:tplc="DD32766E">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24"/>
  </w:num>
  <w:num w:numId="3">
    <w:abstractNumId w:val="3"/>
  </w:num>
  <w:num w:numId="4">
    <w:abstractNumId w:val="35"/>
  </w:num>
  <w:num w:numId="5">
    <w:abstractNumId w:val="27"/>
  </w:num>
  <w:num w:numId="6">
    <w:abstractNumId w:val="31"/>
  </w:num>
  <w:num w:numId="7">
    <w:abstractNumId w:val="26"/>
  </w:num>
  <w:num w:numId="8">
    <w:abstractNumId w:val="11"/>
  </w:num>
  <w:num w:numId="9">
    <w:abstractNumId w:val="39"/>
  </w:num>
  <w:num w:numId="10">
    <w:abstractNumId w:val="12"/>
  </w:num>
  <w:num w:numId="11">
    <w:abstractNumId w:val="29"/>
  </w:num>
  <w:num w:numId="12">
    <w:abstractNumId w:val="30"/>
  </w:num>
  <w:num w:numId="13">
    <w:abstractNumId w:val="13"/>
  </w:num>
  <w:num w:numId="14">
    <w:abstractNumId w:val="8"/>
  </w:num>
  <w:num w:numId="15">
    <w:abstractNumId w:val="10"/>
  </w:num>
  <w:num w:numId="16">
    <w:abstractNumId w:val="7"/>
  </w:num>
  <w:num w:numId="17">
    <w:abstractNumId w:val="25"/>
  </w:num>
  <w:num w:numId="18">
    <w:abstractNumId w:val="28"/>
  </w:num>
  <w:num w:numId="19">
    <w:abstractNumId w:val="38"/>
  </w:num>
  <w:num w:numId="20">
    <w:abstractNumId w:val="21"/>
  </w:num>
  <w:num w:numId="21">
    <w:abstractNumId w:val="33"/>
  </w:num>
  <w:num w:numId="22">
    <w:abstractNumId w:val="18"/>
  </w:num>
  <w:num w:numId="23">
    <w:abstractNumId w:val="23"/>
  </w:num>
  <w:num w:numId="24">
    <w:abstractNumId w:val="19"/>
  </w:num>
  <w:num w:numId="25">
    <w:abstractNumId w:val="34"/>
  </w:num>
  <w:num w:numId="26">
    <w:abstractNumId w:val="4"/>
  </w:num>
  <w:num w:numId="27">
    <w:abstractNumId w:val="1"/>
  </w:num>
  <w:num w:numId="28">
    <w:abstractNumId w:val="2"/>
  </w:num>
  <w:num w:numId="29">
    <w:abstractNumId w:val="32"/>
  </w:num>
  <w:num w:numId="30">
    <w:abstractNumId w:val="17"/>
  </w:num>
  <w:num w:numId="31">
    <w:abstractNumId w:val="14"/>
  </w:num>
  <w:num w:numId="32">
    <w:abstractNumId w:val="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0"/>
  </w:num>
  <w:num w:numId="36">
    <w:abstractNumId w:val="22"/>
  </w:num>
  <w:num w:numId="37">
    <w:abstractNumId w:val="15"/>
  </w:num>
  <w:num w:numId="38">
    <w:abstractNumId w:val="37"/>
  </w:num>
  <w:num w:numId="39">
    <w:abstractNumId w:val="9"/>
  </w:num>
  <w:num w:numId="4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n-US" w:vendorID="64" w:dllVersion="6" w:nlCheck="1" w:checkStyle="1"/>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n-US" w:vendorID="64" w:dllVersion="0" w:nlCheck="1" w:checkStyle="0"/>
  <w:activeWritingStyle w:appName="MSWord" w:lang="es-ES" w:vendorID="64" w:dllVersion="131078" w:nlCheck="1" w:checkStyle="0"/>
  <w:activeWritingStyle w:appName="MSWord" w:lang="es-CO" w:vendorID="64" w:dllVersion="131078" w:nlCheck="1" w:checkStyle="0"/>
  <w:activeWritingStyle w:appName="MSWord" w:lang="pt-BR"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980"/>
    <w:rsid w:val="00001F8D"/>
    <w:rsid w:val="00003D24"/>
    <w:rsid w:val="00004F4D"/>
    <w:rsid w:val="00006F83"/>
    <w:rsid w:val="00007F07"/>
    <w:rsid w:val="000105BA"/>
    <w:rsid w:val="00013C42"/>
    <w:rsid w:val="00014D67"/>
    <w:rsid w:val="00015961"/>
    <w:rsid w:val="00016A94"/>
    <w:rsid w:val="000200CF"/>
    <w:rsid w:val="00021FCC"/>
    <w:rsid w:val="00024546"/>
    <w:rsid w:val="00024F34"/>
    <w:rsid w:val="0002546A"/>
    <w:rsid w:val="00027B35"/>
    <w:rsid w:val="00032CBF"/>
    <w:rsid w:val="0004205E"/>
    <w:rsid w:val="000433D5"/>
    <w:rsid w:val="000442E9"/>
    <w:rsid w:val="000475BF"/>
    <w:rsid w:val="00047A6E"/>
    <w:rsid w:val="00050524"/>
    <w:rsid w:val="00052AC2"/>
    <w:rsid w:val="00060AF9"/>
    <w:rsid w:val="00066463"/>
    <w:rsid w:val="0007543B"/>
    <w:rsid w:val="0007636F"/>
    <w:rsid w:val="00080663"/>
    <w:rsid w:val="00081CEE"/>
    <w:rsid w:val="00084B49"/>
    <w:rsid w:val="00085F36"/>
    <w:rsid w:val="00086B16"/>
    <w:rsid w:val="00092C0A"/>
    <w:rsid w:val="00094D9F"/>
    <w:rsid w:val="000A0F32"/>
    <w:rsid w:val="000A35DA"/>
    <w:rsid w:val="000A3E34"/>
    <w:rsid w:val="000A4ACF"/>
    <w:rsid w:val="000B142D"/>
    <w:rsid w:val="000B30A6"/>
    <w:rsid w:val="000B39C5"/>
    <w:rsid w:val="000B50F1"/>
    <w:rsid w:val="000B6071"/>
    <w:rsid w:val="000C1161"/>
    <w:rsid w:val="000C41BE"/>
    <w:rsid w:val="000C4270"/>
    <w:rsid w:val="000C614C"/>
    <w:rsid w:val="000C6C52"/>
    <w:rsid w:val="000C75CD"/>
    <w:rsid w:val="000D0C63"/>
    <w:rsid w:val="000D1904"/>
    <w:rsid w:val="000D2DA8"/>
    <w:rsid w:val="000D4770"/>
    <w:rsid w:val="000D512E"/>
    <w:rsid w:val="000D61BA"/>
    <w:rsid w:val="000E0152"/>
    <w:rsid w:val="000E370D"/>
    <w:rsid w:val="000E60DE"/>
    <w:rsid w:val="000E65A4"/>
    <w:rsid w:val="000F5C9E"/>
    <w:rsid w:val="00105533"/>
    <w:rsid w:val="001072FB"/>
    <w:rsid w:val="00113AE5"/>
    <w:rsid w:val="00116659"/>
    <w:rsid w:val="001175AA"/>
    <w:rsid w:val="00121C37"/>
    <w:rsid w:val="00124526"/>
    <w:rsid w:val="001252DE"/>
    <w:rsid w:val="00125943"/>
    <w:rsid w:val="00125A3A"/>
    <w:rsid w:val="00126916"/>
    <w:rsid w:val="00126980"/>
    <w:rsid w:val="00127B85"/>
    <w:rsid w:val="001303DD"/>
    <w:rsid w:val="00130E19"/>
    <w:rsid w:val="00130E55"/>
    <w:rsid w:val="001348DA"/>
    <w:rsid w:val="001365B5"/>
    <w:rsid w:val="00136CD0"/>
    <w:rsid w:val="0013737F"/>
    <w:rsid w:val="00137879"/>
    <w:rsid w:val="00142BF2"/>
    <w:rsid w:val="00143C61"/>
    <w:rsid w:val="001447C1"/>
    <w:rsid w:val="00145BCA"/>
    <w:rsid w:val="0015216F"/>
    <w:rsid w:val="00153523"/>
    <w:rsid w:val="001541B1"/>
    <w:rsid w:val="00154CAE"/>
    <w:rsid w:val="001557B1"/>
    <w:rsid w:val="00156953"/>
    <w:rsid w:val="00157729"/>
    <w:rsid w:val="0016131A"/>
    <w:rsid w:val="00161CB0"/>
    <w:rsid w:val="0016228F"/>
    <w:rsid w:val="00164587"/>
    <w:rsid w:val="00165132"/>
    <w:rsid w:val="001665A3"/>
    <w:rsid w:val="001743EF"/>
    <w:rsid w:val="00174A31"/>
    <w:rsid w:val="00177232"/>
    <w:rsid w:val="001827C0"/>
    <w:rsid w:val="00185450"/>
    <w:rsid w:val="00187186"/>
    <w:rsid w:val="001978EB"/>
    <w:rsid w:val="001A2AF1"/>
    <w:rsid w:val="001C013E"/>
    <w:rsid w:val="001C2486"/>
    <w:rsid w:val="001C68F0"/>
    <w:rsid w:val="001D1743"/>
    <w:rsid w:val="001D17CF"/>
    <w:rsid w:val="001D200E"/>
    <w:rsid w:val="001D3971"/>
    <w:rsid w:val="001D51F0"/>
    <w:rsid w:val="001E2543"/>
    <w:rsid w:val="001E5C9C"/>
    <w:rsid w:val="001E6C60"/>
    <w:rsid w:val="001F238A"/>
    <w:rsid w:val="001F27D6"/>
    <w:rsid w:val="002171A2"/>
    <w:rsid w:val="002217D1"/>
    <w:rsid w:val="002219C3"/>
    <w:rsid w:val="002264B8"/>
    <w:rsid w:val="00230048"/>
    <w:rsid w:val="00231FED"/>
    <w:rsid w:val="00234296"/>
    <w:rsid w:val="00235361"/>
    <w:rsid w:val="00236F62"/>
    <w:rsid w:val="00237D76"/>
    <w:rsid w:val="00250E6F"/>
    <w:rsid w:val="00251FCE"/>
    <w:rsid w:val="00252F13"/>
    <w:rsid w:val="00254313"/>
    <w:rsid w:val="0026054F"/>
    <w:rsid w:val="00261743"/>
    <w:rsid w:val="00263FFA"/>
    <w:rsid w:val="0026513E"/>
    <w:rsid w:val="00265A0D"/>
    <w:rsid w:val="00271E62"/>
    <w:rsid w:val="002729A5"/>
    <w:rsid w:val="00282C88"/>
    <w:rsid w:val="002862C1"/>
    <w:rsid w:val="00286449"/>
    <w:rsid w:val="00287EC3"/>
    <w:rsid w:val="002903DB"/>
    <w:rsid w:val="00293F29"/>
    <w:rsid w:val="002941D1"/>
    <w:rsid w:val="00295400"/>
    <w:rsid w:val="00295611"/>
    <w:rsid w:val="002A1D95"/>
    <w:rsid w:val="002A2204"/>
    <w:rsid w:val="002A2A12"/>
    <w:rsid w:val="002A2BF1"/>
    <w:rsid w:val="002A67F3"/>
    <w:rsid w:val="002B3A8F"/>
    <w:rsid w:val="002B72F7"/>
    <w:rsid w:val="002C05D0"/>
    <w:rsid w:val="002C6429"/>
    <w:rsid w:val="002C6E72"/>
    <w:rsid w:val="002D0532"/>
    <w:rsid w:val="002D096D"/>
    <w:rsid w:val="002D11FE"/>
    <w:rsid w:val="002D1B57"/>
    <w:rsid w:val="002D2CB2"/>
    <w:rsid w:val="002D35EC"/>
    <w:rsid w:val="002D3FE3"/>
    <w:rsid w:val="002D42C2"/>
    <w:rsid w:val="002D5E8B"/>
    <w:rsid w:val="002D71CD"/>
    <w:rsid w:val="002E4A97"/>
    <w:rsid w:val="002E6E79"/>
    <w:rsid w:val="002E71C4"/>
    <w:rsid w:val="002F226A"/>
    <w:rsid w:val="002F4E65"/>
    <w:rsid w:val="003007C5"/>
    <w:rsid w:val="00301DC2"/>
    <w:rsid w:val="00302592"/>
    <w:rsid w:val="00311355"/>
    <w:rsid w:val="00322402"/>
    <w:rsid w:val="003227FD"/>
    <w:rsid w:val="00324CD8"/>
    <w:rsid w:val="00325A55"/>
    <w:rsid w:val="003335C1"/>
    <w:rsid w:val="003343DB"/>
    <w:rsid w:val="00336655"/>
    <w:rsid w:val="00342B3C"/>
    <w:rsid w:val="003432E9"/>
    <w:rsid w:val="00344495"/>
    <w:rsid w:val="003457EA"/>
    <w:rsid w:val="00346554"/>
    <w:rsid w:val="00346AB8"/>
    <w:rsid w:val="003503EB"/>
    <w:rsid w:val="00350767"/>
    <w:rsid w:val="00350E4B"/>
    <w:rsid w:val="0035180F"/>
    <w:rsid w:val="003533A1"/>
    <w:rsid w:val="0036146A"/>
    <w:rsid w:val="00362BFB"/>
    <w:rsid w:val="003651DE"/>
    <w:rsid w:val="00365A8B"/>
    <w:rsid w:val="003663A2"/>
    <w:rsid w:val="00367CB8"/>
    <w:rsid w:val="003711C0"/>
    <w:rsid w:val="00373197"/>
    <w:rsid w:val="00374A72"/>
    <w:rsid w:val="0038390A"/>
    <w:rsid w:val="00387EB7"/>
    <w:rsid w:val="00392C65"/>
    <w:rsid w:val="003A0BBF"/>
    <w:rsid w:val="003A3C08"/>
    <w:rsid w:val="003A6449"/>
    <w:rsid w:val="003A73D2"/>
    <w:rsid w:val="003B2498"/>
    <w:rsid w:val="003B3F46"/>
    <w:rsid w:val="003B4DDE"/>
    <w:rsid w:val="003B625C"/>
    <w:rsid w:val="003C0C28"/>
    <w:rsid w:val="003C0F32"/>
    <w:rsid w:val="003C3F73"/>
    <w:rsid w:val="003C6CAC"/>
    <w:rsid w:val="003C71E8"/>
    <w:rsid w:val="003D2C20"/>
    <w:rsid w:val="003D3516"/>
    <w:rsid w:val="003D3F9B"/>
    <w:rsid w:val="003D4526"/>
    <w:rsid w:val="003D637F"/>
    <w:rsid w:val="003E1394"/>
    <w:rsid w:val="003E582F"/>
    <w:rsid w:val="003E7E63"/>
    <w:rsid w:val="003F097C"/>
    <w:rsid w:val="003F65FF"/>
    <w:rsid w:val="00401B59"/>
    <w:rsid w:val="0040536A"/>
    <w:rsid w:val="00405CE5"/>
    <w:rsid w:val="0041604F"/>
    <w:rsid w:val="00416CFB"/>
    <w:rsid w:val="00417C42"/>
    <w:rsid w:val="00427DD9"/>
    <w:rsid w:val="00431472"/>
    <w:rsid w:val="004317DB"/>
    <w:rsid w:val="00432C5C"/>
    <w:rsid w:val="00435106"/>
    <w:rsid w:val="00437C19"/>
    <w:rsid w:val="004439EC"/>
    <w:rsid w:val="00453A2D"/>
    <w:rsid w:val="00461D1F"/>
    <w:rsid w:val="004664FD"/>
    <w:rsid w:val="004675C0"/>
    <w:rsid w:val="00467D73"/>
    <w:rsid w:val="00470148"/>
    <w:rsid w:val="00470526"/>
    <w:rsid w:val="004734E7"/>
    <w:rsid w:val="004816B6"/>
    <w:rsid w:val="00482F20"/>
    <w:rsid w:val="004848A4"/>
    <w:rsid w:val="00490FFB"/>
    <w:rsid w:val="0049301B"/>
    <w:rsid w:val="00494FC3"/>
    <w:rsid w:val="00497D3D"/>
    <w:rsid w:val="004A0755"/>
    <w:rsid w:val="004A0F09"/>
    <w:rsid w:val="004A20F9"/>
    <w:rsid w:val="004A6BE3"/>
    <w:rsid w:val="004B078F"/>
    <w:rsid w:val="004B09CC"/>
    <w:rsid w:val="004B435D"/>
    <w:rsid w:val="004B741A"/>
    <w:rsid w:val="004C2927"/>
    <w:rsid w:val="004C4371"/>
    <w:rsid w:val="004C6527"/>
    <w:rsid w:val="004C79FA"/>
    <w:rsid w:val="004C7D38"/>
    <w:rsid w:val="004D0D86"/>
    <w:rsid w:val="004D10C6"/>
    <w:rsid w:val="004D2643"/>
    <w:rsid w:val="004D294E"/>
    <w:rsid w:val="004D3D03"/>
    <w:rsid w:val="004D4586"/>
    <w:rsid w:val="004D6266"/>
    <w:rsid w:val="004D6329"/>
    <w:rsid w:val="004D66E6"/>
    <w:rsid w:val="004D6AD7"/>
    <w:rsid w:val="004D7D85"/>
    <w:rsid w:val="004E034B"/>
    <w:rsid w:val="004E17FC"/>
    <w:rsid w:val="004E274E"/>
    <w:rsid w:val="004E3E3E"/>
    <w:rsid w:val="004E517F"/>
    <w:rsid w:val="004E6E58"/>
    <w:rsid w:val="004E7AE6"/>
    <w:rsid w:val="004F614E"/>
    <w:rsid w:val="004F653B"/>
    <w:rsid w:val="004F778E"/>
    <w:rsid w:val="004F7A38"/>
    <w:rsid w:val="0050148F"/>
    <w:rsid w:val="00502F91"/>
    <w:rsid w:val="00512540"/>
    <w:rsid w:val="00513F78"/>
    <w:rsid w:val="00514725"/>
    <w:rsid w:val="00520AAA"/>
    <w:rsid w:val="00520B2A"/>
    <w:rsid w:val="00522290"/>
    <w:rsid w:val="0053170A"/>
    <w:rsid w:val="005338E4"/>
    <w:rsid w:val="005408CB"/>
    <w:rsid w:val="0054286C"/>
    <w:rsid w:val="00543E5A"/>
    <w:rsid w:val="00545A32"/>
    <w:rsid w:val="0054645F"/>
    <w:rsid w:val="005505C8"/>
    <w:rsid w:val="00553F1D"/>
    <w:rsid w:val="005616ED"/>
    <w:rsid w:val="00561FBE"/>
    <w:rsid w:val="005629D0"/>
    <w:rsid w:val="00564A4E"/>
    <w:rsid w:val="00565242"/>
    <w:rsid w:val="00573B0A"/>
    <w:rsid w:val="0057465D"/>
    <w:rsid w:val="00581077"/>
    <w:rsid w:val="005815B6"/>
    <w:rsid w:val="0058273F"/>
    <w:rsid w:val="00584E85"/>
    <w:rsid w:val="00584FE5"/>
    <w:rsid w:val="005871DA"/>
    <w:rsid w:val="00587695"/>
    <w:rsid w:val="0059054D"/>
    <w:rsid w:val="0059316B"/>
    <w:rsid w:val="005949A8"/>
    <w:rsid w:val="005A077D"/>
    <w:rsid w:val="005A10FC"/>
    <w:rsid w:val="005A4320"/>
    <w:rsid w:val="005A498D"/>
    <w:rsid w:val="005A4D01"/>
    <w:rsid w:val="005A5E27"/>
    <w:rsid w:val="005A6B4C"/>
    <w:rsid w:val="005A6B53"/>
    <w:rsid w:val="005B1074"/>
    <w:rsid w:val="005B1579"/>
    <w:rsid w:val="005B33EB"/>
    <w:rsid w:val="005C19CA"/>
    <w:rsid w:val="005C4227"/>
    <w:rsid w:val="005C4522"/>
    <w:rsid w:val="005C5E9B"/>
    <w:rsid w:val="005D49BF"/>
    <w:rsid w:val="005D705C"/>
    <w:rsid w:val="005E4184"/>
    <w:rsid w:val="005F2845"/>
    <w:rsid w:val="005F2AAA"/>
    <w:rsid w:val="005F30C3"/>
    <w:rsid w:val="005F7863"/>
    <w:rsid w:val="0060353B"/>
    <w:rsid w:val="0060713A"/>
    <w:rsid w:val="00614824"/>
    <w:rsid w:val="00615CB6"/>
    <w:rsid w:val="00616A29"/>
    <w:rsid w:val="00617816"/>
    <w:rsid w:val="00620876"/>
    <w:rsid w:val="00624FD0"/>
    <w:rsid w:val="006306B1"/>
    <w:rsid w:val="00630C5E"/>
    <w:rsid w:val="006315B4"/>
    <w:rsid w:val="00635AC3"/>
    <w:rsid w:val="00636FFB"/>
    <w:rsid w:val="0064105F"/>
    <w:rsid w:val="00642265"/>
    <w:rsid w:val="00654CCF"/>
    <w:rsid w:val="006555F2"/>
    <w:rsid w:val="00656CFF"/>
    <w:rsid w:val="00661526"/>
    <w:rsid w:val="00661679"/>
    <w:rsid w:val="0066290D"/>
    <w:rsid w:val="00665F82"/>
    <w:rsid w:val="00670D10"/>
    <w:rsid w:val="0067186C"/>
    <w:rsid w:val="00671E11"/>
    <w:rsid w:val="006779DA"/>
    <w:rsid w:val="0068010E"/>
    <w:rsid w:val="006805BB"/>
    <w:rsid w:val="00680A49"/>
    <w:rsid w:val="006837D9"/>
    <w:rsid w:val="00687EB3"/>
    <w:rsid w:val="0069113F"/>
    <w:rsid w:val="00692980"/>
    <w:rsid w:val="00692EB7"/>
    <w:rsid w:val="00693246"/>
    <w:rsid w:val="0069452C"/>
    <w:rsid w:val="0069506F"/>
    <w:rsid w:val="00696582"/>
    <w:rsid w:val="006A0806"/>
    <w:rsid w:val="006A1DBB"/>
    <w:rsid w:val="006A7EDD"/>
    <w:rsid w:val="006B1ACB"/>
    <w:rsid w:val="006B2D95"/>
    <w:rsid w:val="006B4E40"/>
    <w:rsid w:val="006B5EF0"/>
    <w:rsid w:val="006B68C6"/>
    <w:rsid w:val="006C103A"/>
    <w:rsid w:val="006C2B76"/>
    <w:rsid w:val="006C4E6A"/>
    <w:rsid w:val="006C50E8"/>
    <w:rsid w:val="006D464D"/>
    <w:rsid w:val="006D4EC3"/>
    <w:rsid w:val="006D66C4"/>
    <w:rsid w:val="006D68EE"/>
    <w:rsid w:val="006E6F11"/>
    <w:rsid w:val="006F0B6B"/>
    <w:rsid w:val="006F144D"/>
    <w:rsid w:val="006F3D2B"/>
    <w:rsid w:val="006F461B"/>
    <w:rsid w:val="006F5D81"/>
    <w:rsid w:val="006F5F0C"/>
    <w:rsid w:val="006F622C"/>
    <w:rsid w:val="00700FF6"/>
    <w:rsid w:val="00701E29"/>
    <w:rsid w:val="00704357"/>
    <w:rsid w:val="00704D44"/>
    <w:rsid w:val="00715A68"/>
    <w:rsid w:val="00715DD5"/>
    <w:rsid w:val="00715ECF"/>
    <w:rsid w:val="0071664C"/>
    <w:rsid w:val="00717A04"/>
    <w:rsid w:val="00717BFE"/>
    <w:rsid w:val="007208C5"/>
    <w:rsid w:val="00721388"/>
    <w:rsid w:val="007214F9"/>
    <w:rsid w:val="00725BB4"/>
    <w:rsid w:val="00727950"/>
    <w:rsid w:val="0073180A"/>
    <w:rsid w:val="00732997"/>
    <w:rsid w:val="007336C3"/>
    <w:rsid w:val="00735033"/>
    <w:rsid w:val="0073539B"/>
    <w:rsid w:val="0074468D"/>
    <w:rsid w:val="00744B6C"/>
    <w:rsid w:val="00745DBE"/>
    <w:rsid w:val="0075068E"/>
    <w:rsid w:val="007543B2"/>
    <w:rsid w:val="00756485"/>
    <w:rsid w:val="0075705D"/>
    <w:rsid w:val="007626E1"/>
    <w:rsid w:val="00766D97"/>
    <w:rsid w:val="00767F65"/>
    <w:rsid w:val="00770D6C"/>
    <w:rsid w:val="0077342A"/>
    <w:rsid w:val="00777902"/>
    <w:rsid w:val="00777A2F"/>
    <w:rsid w:val="00783120"/>
    <w:rsid w:val="00783515"/>
    <w:rsid w:val="00787128"/>
    <w:rsid w:val="0078784B"/>
    <w:rsid w:val="00787C94"/>
    <w:rsid w:val="00791BCB"/>
    <w:rsid w:val="007921BD"/>
    <w:rsid w:val="00793A02"/>
    <w:rsid w:val="00795C6B"/>
    <w:rsid w:val="007A1566"/>
    <w:rsid w:val="007A272C"/>
    <w:rsid w:val="007A3995"/>
    <w:rsid w:val="007A5AC5"/>
    <w:rsid w:val="007B02F2"/>
    <w:rsid w:val="007B34C6"/>
    <w:rsid w:val="007B3CE9"/>
    <w:rsid w:val="007B622D"/>
    <w:rsid w:val="007C4288"/>
    <w:rsid w:val="007C484E"/>
    <w:rsid w:val="007D43F4"/>
    <w:rsid w:val="007D4853"/>
    <w:rsid w:val="007D57C4"/>
    <w:rsid w:val="007D5C7F"/>
    <w:rsid w:val="007D770C"/>
    <w:rsid w:val="007E0429"/>
    <w:rsid w:val="007E121B"/>
    <w:rsid w:val="007E41DE"/>
    <w:rsid w:val="007E4CE3"/>
    <w:rsid w:val="007F205E"/>
    <w:rsid w:val="007F2B1F"/>
    <w:rsid w:val="007F364B"/>
    <w:rsid w:val="00802F7A"/>
    <w:rsid w:val="0080508B"/>
    <w:rsid w:val="00806A1C"/>
    <w:rsid w:val="0080773A"/>
    <w:rsid w:val="00812F74"/>
    <w:rsid w:val="008173F3"/>
    <w:rsid w:val="00820136"/>
    <w:rsid w:val="0082117C"/>
    <w:rsid w:val="00822004"/>
    <w:rsid w:val="008227E9"/>
    <w:rsid w:val="008252C5"/>
    <w:rsid w:val="008279A4"/>
    <w:rsid w:val="00831860"/>
    <w:rsid w:val="00832F2D"/>
    <w:rsid w:val="00836C34"/>
    <w:rsid w:val="00836C6A"/>
    <w:rsid w:val="0084100C"/>
    <w:rsid w:val="00841C9F"/>
    <w:rsid w:val="0084294E"/>
    <w:rsid w:val="00843EFF"/>
    <w:rsid w:val="008442A5"/>
    <w:rsid w:val="008464F3"/>
    <w:rsid w:val="008477A9"/>
    <w:rsid w:val="0085010F"/>
    <w:rsid w:val="008522F9"/>
    <w:rsid w:val="0085416A"/>
    <w:rsid w:val="008548EA"/>
    <w:rsid w:val="00856B0F"/>
    <w:rsid w:val="00861D6D"/>
    <w:rsid w:val="00863BBE"/>
    <w:rsid w:val="00864106"/>
    <w:rsid w:val="00867D6D"/>
    <w:rsid w:val="0087186A"/>
    <w:rsid w:val="00872C56"/>
    <w:rsid w:val="00874F2C"/>
    <w:rsid w:val="00874F67"/>
    <w:rsid w:val="00875375"/>
    <w:rsid w:val="00876AC2"/>
    <w:rsid w:val="0088196D"/>
    <w:rsid w:val="00882C6E"/>
    <w:rsid w:val="00883F43"/>
    <w:rsid w:val="00884C98"/>
    <w:rsid w:val="00884CE2"/>
    <w:rsid w:val="00885E7D"/>
    <w:rsid w:val="0089265B"/>
    <w:rsid w:val="0089363F"/>
    <w:rsid w:val="0089390E"/>
    <w:rsid w:val="00894787"/>
    <w:rsid w:val="00894D05"/>
    <w:rsid w:val="00896ED8"/>
    <w:rsid w:val="008A209D"/>
    <w:rsid w:val="008A2436"/>
    <w:rsid w:val="008A3C2E"/>
    <w:rsid w:val="008A4E8C"/>
    <w:rsid w:val="008A563D"/>
    <w:rsid w:val="008A6111"/>
    <w:rsid w:val="008B3B0A"/>
    <w:rsid w:val="008B501E"/>
    <w:rsid w:val="008B50E4"/>
    <w:rsid w:val="008C182B"/>
    <w:rsid w:val="008C1E30"/>
    <w:rsid w:val="008C2BA0"/>
    <w:rsid w:val="008C48C2"/>
    <w:rsid w:val="008C5DA9"/>
    <w:rsid w:val="008C69F2"/>
    <w:rsid w:val="008D04AD"/>
    <w:rsid w:val="008D1D44"/>
    <w:rsid w:val="008D3E6C"/>
    <w:rsid w:val="008D5A3B"/>
    <w:rsid w:val="008E04EC"/>
    <w:rsid w:val="008E3697"/>
    <w:rsid w:val="008E4329"/>
    <w:rsid w:val="008E43F4"/>
    <w:rsid w:val="008E5B0E"/>
    <w:rsid w:val="008E6F11"/>
    <w:rsid w:val="008F1C50"/>
    <w:rsid w:val="008F42F6"/>
    <w:rsid w:val="008F4806"/>
    <w:rsid w:val="008F4874"/>
    <w:rsid w:val="008F5282"/>
    <w:rsid w:val="008F664B"/>
    <w:rsid w:val="008F721B"/>
    <w:rsid w:val="00906011"/>
    <w:rsid w:val="009065F9"/>
    <w:rsid w:val="009079E9"/>
    <w:rsid w:val="009124B4"/>
    <w:rsid w:val="00912BAC"/>
    <w:rsid w:val="009131EE"/>
    <w:rsid w:val="00923A0C"/>
    <w:rsid w:val="00925058"/>
    <w:rsid w:val="00926CDB"/>
    <w:rsid w:val="00930113"/>
    <w:rsid w:val="00934629"/>
    <w:rsid w:val="009356EC"/>
    <w:rsid w:val="00936110"/>
    <w:rsid w:val="00937FB2"/>
    <w:rsid w:val="0094114F"/>
    <w:rsid w:val="009467EF"/>
    <w:rsid w:val="00950F36"/>
    <w:rsid w:val="0095593A"/>
    <w:rsid w:val="0095690D"/>
    <w:rsid w:val="009609C5"/>
    <w:rsid w:val="00965B1A"/>
    <w:rsid w:val="00970896"/>
    <w:rsid w:val="00971A7E"/>
    <w:rsid w:val="00971B57"/>
    <w:rsid w:val="009730EE"/>
    <w:rsid w:val="0097542E"/>
    <w:rsid w:val="0097571F"/>
    <w:rsid w:val="00976933"/>
    <w:rsid w:val="009772FD"/>
    <w:rsid w:val="0098022C"/>
    <w:rsid w:val="00981893"/>
    <w:rsid w:val="00982175"/>
    <w:rsid w:val="00984974"/>
    <w:rsid w:val="009857BB"/>
    <w:rsid w:val="00986438"/>
    <w:rsid w:val="00987DBF"/>
    <w:rsid w:val="00990CE4"/>
    <w:rsid w:val="00995241"/>
    <w:rsid w:val="009968BD"/>
    <w:rsid w:val="009970F9"/>
    <w:rsid w:val="009A4206"/>
    <w:rsid w:val="009A5590"/>
    <w:rsid w:val="009A5F4B"/>
    <w:rsid w:val="009A6C44"/>
    <w:rsid w:val="009B2A9C"/>
    <w:rsid w:val="009C0E5E"/>
    <w:rsid w:val="009C3837"/>
    <w:rsid w:val="009C44BD"/>
    <w:rsid w:val="009C537F"/>
    <w:rsid w:val="009D0585"/>
    <w:rsid w:val="009D2BB3"/>
    <w:rsid w:val="009D6508"/>
    <w:rsid w:val="009E0846"/>
    <w:rsid w:val="009E1EF4"/>
    <w:rsid w:val="009E1F32"/>
    <w:rsid w:val="009E4BD5"/>
    <w:rsid w:val="009E76D1"/>
    <w:rsid w:val="009F1BE0"/>
    <w:rsid w:val="009F20F1"/>
    <w:rsid w:val="009F6558"/>
    <w:rsid w:val="009F7CED"/>
    <w:rsid w:val="00A04569"/>
    <w:rsid w:val="00A0636C"/>
    <w:rsid w:val="00A0736A"/>
    <w:rsid w:val="00A07DE7"/>
    <w:rsid w:val="00A120D6"/>
    <w:rsid w:val="00A1301A"/>
    <w:rsid w:val="00A14C37"/>
    <w:rsid w:val="00A159A6"/>
    <w:rsid w:val="00A161B9"/>
    <w:rsid w:val="00A16EAE"/>
    <w:rsid w:val="00A21294"/>
    <w:rsid w:val="00A219D7"/>
    <w:rsid w:val="00A21AAF"/>
    <w:rsid w:val="00A2785C"/>
    <w:rsid w:val="00A33DCF"/>
    <w:rsid w:val="00A377FE"/>
    <w:rsid w:val="00A4128C"/>
    <w:rsid w:val="00A41AEF"/>
    <w:rsid w:val="00A447B3"/>
    <w:rsid w:val="00A4506A"/>
    <w:rsid w:val="00A4525B"/>
    <w:rsid w:val="00A500DD"/>
    <w:rsid w:val="00A51DEB"/>
    <w:rsid w:val="00A52C3F"/>
    <w:rsid w:val="00A554E5"/>
    <w:rsid w:val="00A55DB6"/>
    <w:rsid w:val="00A61784"/>
    <w:rsid w:val="00A6352E"/>
    <w:rsid w:val="00A635E3"/>
    <w:rsid w:val="00A64120"/>
    <w:rsid w:val="00A65793"/>
    <w:rsid w:val="00A70F15"/>
    <w:rsid w:val="00A72973"/>
    <w:rsid w:val="00A74AFD"/>
    <w:rsid w:val="00A80001"/>
    <w:rsid w:val="00A80613"/>
    <w:rsid w:val="00A81DE0"/>
    <w:rsid w:val="00A83A98"/>
    <w:rsid w:val="00A85AEA"/>
    <w:rsid w:val="00A94019"/>
    <w:rsid w:val="00A95318"/>
    <w:rsid w:val="00AA28E8"/>
    <w:rsid w:val="00AA3A12"/>
    <w:rsid w:val="00AB0498"/>
    <w:rsid w:val="00AB0708"/>
    <w:rsid w:val="00AB0C45"/>
    <w:rsid w:val="00AB6652"/>
    <w:rsid w:val="00AC1AF8"/>
    <w:rsid w:val="00AC3403"/>
    <w:rsid w:val="00AC447D"/>
    <w:rsid w:val="00AD038B"/>
    <w:rsid w:val="00AD2D8B"/>
    <w:rsid w:val="00AD5446"/>
    <w:rsid w:val="00AD623F"/>
    <w:rsid w:val="00AE03F3"/>
    <w:rsid w:val="00AE2235"/>
    <w:rsid w:val="00AF5E71"/>
    <w:rsid w:val="00AF76B5"/>
    <w:rsid w:val="00B00938"/>
    <w:rsid w:val="00B05C33"/>
    <w:rsid w:val="00B10EF1"/>
    <w:rsid w:val="00B12E5E"/>
    <w:rsid w:val="00B13AE3"/>
    <w:rsid w:val="00B17C7B"/>
    <w:rsid w:val="00B221D9"/>
    <w:rsid w:val="00B25550"/>
    <w:rsid w:val="00B30DCD"/>
    <w:rsid w:val="00B377D3"/>
    <w:rsid w:val="00B40E18"/>
    <w:rsid w:val="00B4178F"/>
    <w:rsid w:val="00B4216E"/>
    <w:rsid w:val="00B42A5E"/>
    <w:rsid w:val="00B42C75"/>
    <w:rsid w:val="00B43F44"/>
    <w:rsid w:val="00B44208"/>
    <w:rsid w:val="00B448DC"/>
    <w:rsid w:val="00B463AC"/>
    <w:rsid w:val="00B4749F"/>
    <w:rsid w:val="00B47961"/>
    <w:rsid w:val="00B51095"/>
    <w:rsid w:val="00B56B3C"/>
    <w:rsid w:val="00B6123C"/>
    <w:rsid w:val="00B61512"/>
    <w:rsid w:val="00B61CA6"/>
    <w:rsid w:val="00B65F1B"/>
    <w:rsid w:val="00B66D03"/>
    <w:rsid w:val="00B6797D"/>
    <w:rsid w:val="00B67B11"/>
    <w:rsid w:val="00B7000F"/>
    <w:rsid w:val="00B70190"/>
    <w:rsid w:val="00B729FC"/>
    <w:rsid w:val="00B73EC6"/>
    <w:rsid w:val="00B7623E"/>
    <w:rsid w:val="00B766E4"/>
    <w:rsid w:val="00B8326D"/>
    <w:rsid w:val="00B84AF8"/>
    <w:rsid w:val="00B90030"/>
    <w:rsid w:val="00B90B4C"/>
    <w:rsid w:val="00B937B6"/>
    <w:rsid w:val="00B93978"/>
    <w:rsid w:val="00B96393"/>
    <w:rsid w:val="00BA0ED8"/>
    <w:rsid w:val="00BA450F"/>
    <w:rsid w:val="00BA5758"/>
    <w:rsid w:val="00BA758E"/>
    <w:rsid w:val="00BB545F"/>
    <w:rsid w:val="00BD28C6"/>
    <w:rsid w:val="00BD4B65"/>
    <w:rsid w:val="00BE0BA9"/>
    <w:rsid w:val="00BE280C"/>
    <w:rsid w:val="00BE2982"/>
    <w:rsid w:val="00BE7E52"/>
    <w:rsid w:val="00BE7FBA"/>
    <w:rsid w:val="00BF054E"/>
    <w:rsid w:val="00BF0DB9"/>
    <w:rsid w:val="00C0139E"/>
    <w:rsid w:val="00C02C0C"/>
    <w:rsid w:val="00C030B1"/>
    <w:rsid w:val="00C12B93"/>
    <w:rsid w:val="00C134C3"/>
    <w:rsid w:val="00C17701"/>
    <w:rsid w:val="00C224BC"/>
    <w:rsid w:val="00C24453"/>
    <w:rsid w:val="00C26C14"/>
    <w:rsid w:val="00C276AD"/>
    <w:rsid w:val="00C27D76"/>
    <w:rsid w:val="00C31D59"/>
    <w:rsid w:val="00C342C3"/>
    <w:rsid w:val="00C36892"/>
    <w:rsid w:val="00C36EC2"/>
    <w:rsid w:val="00C36EC7"/>
    <w:rsid w:val="00C4009A"/>
    <w:rsid w:val="00C401C2"/>
    <w:rsid w:val="00C40EBA"/>
    <w:rsid w:val="00C46330"/>
    <w:rsid w:val="00C47F73"/>
    <w:rsid w:val="00C50B8D"/>
    <w:rsid w:val="00C52E86"/>
    <w:rsid w:val="00C53E71"/>
    <w:rsid w:val="00C6077B"/>
    <w:rsid w:val="00C60AE5"/>
    <w:rsid w:val="00C61441"/>
    <w:rsid w:val="00C6547F"/>
    <w:rsid w:val="00C7294E"/>
    <w:rsid w:val="00C759B3"/>
    <w:rsid w:val="00C76BAA"/>
    <w:rsid w:val="00C76F5C"/>
    <w:rsid w:val="00C80330"/>
    <w:rsid w:val="00C91F90"/>
    <w:rsid w:val="00C92EEE"/>
    <w:rsid w:val="00C92F72"/>
    <w:rsid w:val="00C94708"/>
    <w:rsid w:val="00C9561B"/>
    <w:rsid w:val="00C96906"/>
    <w:rsid w:val="00C9759E"/>
    <w:rsid w:val="00CA57DF"/>
    <w:rsid w:val="00CB0063"/>
    <w:rsid w:val="00CB05BE"/>
    <w:rsid w:val="00CB4D37"/>
    <w:rsid w:val="00CB66F7"/>
    <w:rsid w:val="00CC0177"/>
    <w:rsid w:val="00CC0C62"/>
    <w:rsid w:val="00CC259C"/>
    <w:rsid w:val="00CC42D1"/>
    <w:rsid w:val="00CC5B3E"/>
    <w:rsid w:val="00CC7FF3"/>
    <w:rsid w:val="00CD475F"/>
    <w:rsid w:val="00CD7B4D"/>
    <w:rsid w:val="00CE00BC"/>
    <w:rsid w:val="00CE14F6"/>
    <w:rsid w:val="00CE1A87"/>
    <w:rsid w:val="00CE29C6"/>
    <w:rsid w:val="00CE2CCE"/>
    <w:rsid w:val="00CE5359"/>
    <w:rsid w:val="00CE7734"/>
    <w:rsid w:val="00CF25EF"/>
    <w:rsid w:val="00CF26A1"/>
    <w:rsid w:val="00CF51D4"/>
    <w:rsid w:val="00D01C96"/>
    <w:rsid w:val="00D04A96"/>
    <w:rsid w:val="00D05B67"/>
    <w:rsid w:val="00D05D52"/>
    <w:rsid w:val="00D07091"/>
    <w:rsid w:val="00D07B2A"/>
    <w:rsid w:val="00D12463"/>
    <w:rsid w:val="00D12A2A"/>
    <w:rsid w:val="00D15CD4"/>
    <w:rsid w:val="00D2023B"/>
    <w:rsid w:val="00D235BC"/>
    <w:rsid w:val="00D24980"/>
    <w:rsid w:val="00D26D53"/>
    <w:rsid w:val="00D31F43"/>
    <w:rsid w:val="00D40E59"/>
    <w:rsid w:val="00D415E6"/>
    <w:rsid w:val="00D42317"/>
    <w:rsid w:val="00D4246C"/>
    <w:rsid w:val="00D444C5"/>
    <w:rsid w:val="00D44D0D"/>
    <w:rsid w:val="00D44E41"/>
    <w:rsid w:val="00D46355"/>
    <w:rsid w:val="00D505D1"/>
    <w:rsid w:val="00D530DC"/>
    <w:rsid w:val="00D56741"/>
    <w:rsid w:val="00D62023"/>
    <w:rsid w:val="00D62207"/>
    <w:rsid w:val="00D671A8"/>
    <w:rsid w:val="00D7070F"/>
    <w:rsid w:val="00D707B1"/>
    <w:rsid w:val="00D709DD"/>
    <w:rsid w:val="00D7102A"/>
    <w:rsid w:val="00D712B1"/>
    <w:rsid w:val="00D742DF"/>
    <w:rsid w:val="00D8294A"/>
    <w:rsid w:val="00D83006"/>
    <w:rsid w:val="00D83F98"/>
    <w:rsid w:val="00D84A75"/>
    <w:rsid w:val="00D85641"/>
    <w:rsid w:val="00D85F90"/>
    <w:rsid w:val="00D90649"/>
    <w:rsid w:val="00D91C08"/>
    <w:rsid w:val="00D91E89"/>
    <w:rsid w:val="00D9213D"/>
    <w:rsid w:val="00D95FBB"/>
    <w:rsid w:val="00D965B1"/>
    <w:rsid w:val="00D97DF9"/>
    <w:rsid w:val="00DA6526"/>
    <w:rsid w:val="00DA6C54"/>
    <w:rsid w:val="00DB0C7D"/>
    <w:rsid w:val="00DB4317"/>
    <w:rsid w:val="00DB56CC"/>
    <w:rsid w:val="00DC3030"/>
    <w:rsid w:val="00DC54A3"/>
    <w:rsid w:val="00DD181C"/>
    <w:rsid w:val="00DD19CE"/>
    <w:rsid w:val="00DD2F2C"/>
    <w:rsid w:val="00DD48D9"/>
    <w:rsid w:val="00DD69D1"/>
    <w:rsid w:val="00DE1540"/>
    <w:rsid w:val="00DE30FB"/>
    <w:rsid w:val="00DE520C"/>
    <w:rsid w:val="00DF1762"/>
    <w:rsid w:val="00DF1E66"/>
    <w:rsid w:val="00DF3B0A"/>
    <w:rsid w:val="00DF60FD"/>
    <w:rsid w:val="00DF6410"/>
    <w:rsid w:val="00DF6AA6"/>
    <w:rsid w:val="00E007F7"/>
    <w:rsid w:val="00E05F18"/>
    <w:rsid w:val="00E069B9"/>
    <w:rsid w:val="00E06A27"/>
    <w:rsid w:val="00E06C77"/>
    <w:rsid w:val="00E12202"/>
    <w:rsid w:val="00E13B5A"/>
    <w:rsid w:val="00E14934"/>
    <w:rsid w:val="00E242C5"/>
    <w:rsid w:val="00E24673"/>
    <w:rsid w:val="00E24F26"/>
    <w:rsid w:val="00E261B4"/>
    <w:rsid w:val="00E31B50"/>
    <w:rsid w:val="00E31E85"/>
    <w:rsid w:val="00E407FF"/>
    <w:rsid w:val="00E40C34"/>
    <w:rsid w:val="00E40CEE"/>
    <w:rsid w:val="00E41E2C"/>
    <w:rsid w:val="00E42FD8"/>
    <w:rsid w:val="00E44207"/>
    <w:rsid w:val="00E5246B"/>
    <w:rsid w:val="00E57C90"/>
    <w:rsid w:val="00E604AE"/>
    <w:rsid w:val="00E60562"/>
    <w:rsid w:val="00E65B3D"/>
    <w:rsid w:val="00E65CE2"/>
    <w:rsid w:val="00E66C57"/>
    <w:rsid w:val="00E66D00"/>
    <w:rsid w:val="00E7224C"/>
    <w:rsid w:val="00E729F2"/>
    <w:rsid w:val="00E74B2A"/>
    <w:rsid w:val="00E75DBD"/>
    <w:rsid w:val="00E805D3"/>
    <w:rsid w:val="00E80748"/>
    <w:rsid w:val="00E80804"/>
    <w:rsid w:val="00E80826"/>
    <w:rsid w:val="00E84DA1"/>
    <w:rsid w:val="00E85D2D"/>
    <w:rsid w:val="00E91332"/>
    <w:rsid w:val="00E920BD"/>
    <w:rsid w:val="00E94D4A"/>
    <w:rsid w:val="00E957FE"/>
    <w:rsid w:val="00E9609C"/>
    <w:rsid w:val="00EA04C3"/>
    <w:rsid w:val="00EA3045"/>
    <w:rsid w:val="00EA4F25"/>
    <w:rsid w:val="00EB0B21"/>
    <w:rsid w:val="00EB17B1"/>
    <w:rsid w:val="00EB20A5"/>
    <w:rsid w:val="00EB6504"/>
    <w:rsid w:val="00EC18A5"/>
    <w:rsid w:val="00EC1DE8"/>
    <w:rsid w:val="00EC2E52"/>
    <w:rsid w:val="00EC35AE"/>
    <w:rsid w:val="00ED3975"/>
    <w:rsid w:val="00ED4708"/>
    <w:rsid w:val="00ED7409"/>
    <w:rsid w:val="00EE0D69"/>
    <w:rsid w:val="00EE0F26"/>
    <w:rsid w:val="00EE2ABB"/>
    <w:rsid w:val="00EE408A"/>
    <w:rsid w:val="00EF192B"/>
    <w:rsid w:val="00EF28D8"/>
    <w:rsid w:val="00F00055"/>
    <w:rsid w:val="00F02B41"/>
    <w:rsid w:val="00F0301B"/>
    <w:rsid w:val="00F064FF"/>
    <w:rsid w:val="00F06B8A"/>
    <w:rsid w:val="00F07A7D"/>
    <w:rsid w:val="00F10F93"/>
    <w:rsid w:val="00F153C1"/>
    <w:rsid w:val="00F16839"/>
    <w:rsid w:val="00F211E7"/>
    <w:rsid w:val="00F21D37"/>
    <w:rsid w:val="00F221F0"/>
    <w:rsid w:val="00F26136"/>
    <w:rsid w:val="00F2713B"/>
    <w:rsid w:val="00F305D8"/>
    <w:rsid w:val="00F30A2D"/>
    <w:rsid w:val="00F30CB8"/>
    <w:rsid w:val="00F33014"/>
    <w:rsid w:val="00F33558"/>
    <w:rsid w:val="00F37106"/>
    <w:rsid w:val="00F44A2E"/>
    <w:rsid w:val="00F45109"/>
    <w:rsid w:val="00F47D57"/>
    <w:rsid w:val="00F51DAF"/>
    <w:rsid w:val="00F55DC4"/>
    <w:rsid w:val="00F56989"/>
    <w:rsid w:val="00F576B3"/>
    <w:rsid w:val="00F65562"/>
    <w:rsid w:val="00F740B6"/>
    <w:rsid w:val="00F745E1"/>
    <w:rsid w:val="00F75A79"/>
    <w:rsid w:val="00F75F7A"/>
    <w:rsid w:val="00F7620E"/>
    <w:rsid w:val="00F775AD"/>
    <w:rsid w:val="00F80E07"/>
    <w:rsid w:val="00F811C9"/>
    <w:rsid w:val="00F84C9E"/>
    <w:rsid w:val="00F87620"/>
    <w:rsid w:val="00F90326"/>
    <w:rsid w:val="00F90F86"/>
    <w:rsid w:val="00F92DF0"/>
    <w:rsid w:val="00F942A4"/>
    <w:rsid w:val="00FA0454"/>
    <w:rsid w:val="00FA08A0"/>
    <w:rsid w:val="00FA4A9E"/>
    <w:rsid w:val="00FB1248"/>
    <w:rsid w:val="00FB1926"/>
    <w:rsid w:val="00FB217D"/>
    <w:rsid w:val="00FB29CC"/>
    <w:rsid w:val="00FB77D2"/>
    <w:rsid w:val="00FC0522"/>
    <w:rsid w:val="00FC197B"/>
    <w:rsid w:val="00FC2DE3"/>
    <w:rsid w:val="00FC2EAC"/>
    <w:rsid w:val="00FD3D04"/>
    <w:rsid w:val="00FD49A0"/>
    <w:rsid w:val="00FE27DE"/>
    <w:rsid w:val="00FE3619"/>
    <w:rsid w:val="00FE5F9D"/>
    <w:rsid w:val="00FE5FC9"/>
    <w:rsid w:val="00FF17D0"/>
    <w:rsid w:val="00FF66CA"/>
    <w:rsid w:val="050CA020"/>
    <w:rsid w:val="07911EC0"/>
    <w:rsid w:val="081BD5EC"/>
    <w:rsid w:val="0E0B74F8"/>
    <w:rsid w:val="1BD3EFA7"/>
    <w:rsid w:val="1ED977BF"/>
    <w:rsid w:val="2A2D67C4"/>
    <w:rsid w:val="319C29ED"/>
    <w:rsid w:val="3D16DD2C"/>
    <w:rsid w:val="4BA8482B"/>
    <w:rsid w:val="5EDF423A"/>
    <w:rsid w:val="605CC12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AD149"/>
  <w15:chartTrackingRefBased/>
  <w15:docId w15:val="{D4D9B659-6D64-4A43-90A2-A5329440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footer" w:uiPriority="99"/>
    <w:lsdException w:name="caption" w:semiHidden="1" w:uiPriority="35"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1D200E"/>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link w:val="NormalWebCar"/>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uiPriority w:val="99"/>
    <w:semiHidden/>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aliases w:val="Footnote Text Char Char Char Char Char,Footnote Text Char Char Char Char,Footnote reference,FA Fu,texto de nota al pie,Footnote Text Char Char Char,Footnote Text Char,Texto nota pie Car1,Texto nota pie Car Car"/>
    <w:basedOn w:val="Normal"/>
    <w:link w:val="TextonotapieCar"/>
    <w:uiPriority w:val="99"/>
    <w:qFormat/>
    <w:rsid w:val="00925058"/>
    <w:rPr>
      <w:rFonts w:ascii="Times" w:eastAsia="Times" w:hAnsi="Times"/>
      <w:lang w:val="en-U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ar,Texto nota pie Car1 Car"/>
    <w:link w:val="Textonotapie"/>
    <w:uiPriority w:val="99"/>
    <w:rsid w:val="00925058"/>
    <w:rPr>
      <w:rFonts w:ascii="Times" w:eastAsia="Times" w:hAnsi="Times"/>
      <w:lang w:val="en-US" w:eastAsia="es-ES"/>
    </w:rPr>
  </w:style>
  <w:style w:type="character" w:styleId="Refdenotaalpie">
    <w:name w:val="footnote reference"/>
    <w:aliases w:val="Texto de nota al pie,referencia nota al pie,Footnotes refss,Appel note de bas de page,Footnote number,BVI fnr,f,texto de nota al pie Car Car Car2,Ref. de nota al pie 2,Nota de pie,Texto nota al pie,Pie de Página,FC,Texto de nota al p"/>
    <w:uiPriority w:val="99"/>
    <w:qFormat/>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uiPriority w:val="99"/>
    <w:unhideWhenUsed/>
    <w:rsid w:val="008F664B"/>
    <w:rPr>
      <w:rFonts w:ascii="Calibri" w:eastAsia="Calibri" w:hAnsi="Calibri"/>
      <w:sz w:val="22"/>
      <w:szCs w:val="21"/>
      <w:lang w:val="es-CO" w:eastAsia="en-US"/>
    </w:rPr>
  </w:style>
  <w:style w:type="character" w:customStyle="1" w:styleId="TextosinformatoCar">
    <w:name w:val="Texto sin formato Car"/>
    <w:link w:val="Textosinformato"/>
    <w:uiPriority w:val="99"/>
    <w:rsid w:val="008F664B"/>
    <w:rPr>
      <w:rFonts w:ascii="Calibri" w:eastAsia="Calibri" w:hAnsi="Calibri"/>
      <w:sz w:val="22"/>
      <w:szCs w:val="21"/>
      <w:lang w:eastAsia="en-US"/>
    </w:rPr>
  </w:style>
  <w:style w:type="paragraph" w:styleId="Prrafodelista">
    <w:name w:val="List Paragraph"/>
    <w:aliases w:val="Segundo nivel de viñetas,List Paragraph1,titulo 3,Segundo nivel de vi–etas,Fotografía,Bullet List,FooterText,numbered,Paragraphe de liste1,lp1,Scitum normal,HOJA,Bolita,Párrafo de lista4,BOLADEF,parrafo,Ha,BOLA,Foot"/>
    <w:basedOn w:val="Normal"/>
    <w:link w:val="PrrafodelistaCar"/>
    <w:uiPriority w:val="34"/>
    <w:qFormat/>
    <w:rsid w:val="008C1E30"/>
    <w:pPr>
      <w:ind w:left="708"/>
    </w:pPr>
  </w:style>
  <w:style w:type="paragraph" w:customStyle="1" w:styleId="paragraph">
    <w:name w:val="paragraph"/>
    <w:basedOn w:val="Normal"/>
    <w:rsid w:val="00E65CE2"/>
    <w:pPr>
      <w:spacing w:before="100" w:beforeAutospacing="1" w:after="100" w:afterAutospacing="1"/>
    </w:pPr>
    <w:rPr>
      <w:rFonts w:ascii="Times New Roman" w:hAnsi="Times New Roman"/>
      <w:sz w:val="24"/>
      <w:szCs w:val="24"/>
      <w:lang w:val="es-CO" w:eastAsia="es-MX"/>
    </w:rPr>
  </w:style>
  <w:style w:type="character" w:customStyle="1" w:styleId="normaltextrun">
    <w:name w:val="normaltextrun"/>
    <w:basedOn w:val="Fuentedeprrafopredeter"/>
    <w:rsid w:val="00E65CE2"/>
  </w:style>
  <w:style w:type="character" w:customStyle="1" w:styleId="eop">
    <w:name w:val="eop"/>
    <w:basedOn w:val="Fuentedeprrafopredeter"/>
    <w:rsid w:val="00E65CE2"/>
  </w:style>
  <w:style w:type="character" w:customStyle="1" w:styleId="tabchar">
    <w:name w:val="tabchar"/>
    <w:basedOn w:val="Fuentedeprrafopredeter"/>
    <w:rsid w:val="00E65CE2"/>
  </w:style>
  <w:style w:type="character" w:customStyle="1" w:styleId="superscript">
    <w:name w:val="superscript"/>
    <w:basedOn w:val="Fuentedeprrafopredeter"/>
    <w:rsid w:val="00E65CE2"/>
  </w:style>
  <w:style w:type="character" w:customStyle="1" w:styleId="NormalWebCar">
    <w:name w:val="Normal (Web) Car"/>
    <w:link w:val="NormalWeb"/>
    <w:uiPriority w:val="99"/>
    <w:rsid w:val="006837D9"/>
    <w:rPr>
      <w:rFonts w:ascii="Arial Unicode MS" w:eastAsia="Arial Unicode MS" w:hAnsi="Arial Unicode MS" w:cs="Arial Unicode MS"/>
      <w:sz w:val="24"/>
      <w:szCs w:val="24"/>
      <w:lang w:eastAsia="es-ES"/>
    </w:rPr>
  </w:style>
  <w:style w:type="character" w:customStyle="1" w:styleId="TextocomentarioCar">
    <w:name w:val="Texto comentario Car"/>
    <w:basedOn w:val="Fuentedeprrafopredeter"/>
    <w:link w:val="Textocomentario"/>
    <w:uiPriority w:val="99"/>
    <w:rsid w:val="001D200E"/>
    <w:rPr>
      <w:rFonts w:ascii="Arial" w:hAnsi="Arial"/>
      <w:lang w:eastAsia="es-ES"/>
    </w:rPr>
  </w:style>
  <w:style w:type="paragraph" w:customStyle="1" w:styleId="Cuerpodetexto">
    <w:name w:val="Cuerpo de texto"/>
    <w:basedOn w:val="Normal"/>
    <w:rsid w:val="00A6352E"/>
    <w:pPr>
      <w:widowControl w:val="0"/>
      <w:autoSpaceDE w:val="0"/>
      <w:autoSpaceDN w:val="0"/>
      <w:adjustRightInd w:val="0"/>
      <w:spacing w:after="283"/>
    </w:pPr>
    <w:rPr>
      <w:rFonts w:ascii="Times New Roman" w:hAnsi="Times New Roman"/>
      <w:sz w:val="24"/>
      <w:szCs w:val="24"/>
      <w:lang w:val="es-ES_tradnl" w:eastAsia="en-US"/>
    </w:rPr>
  </w:style>
  <w:style w:type="character" w:customStyle="1" w:styleId="PrrafodelistaCar">
    <w:name w:val="Párrafo de lista Car"/>
    <w:aliases w:val="Segundo nivel de viñetas Car,List Paragraph1 Car,titulo 3 Car,Segundo nivel de vi–etas Car,Fotografía Car,Bullet List Car,FooterText Car,numbered Car,Paragraphe de liste1 Car,lp1 Car,Scitum normal Car,HOJA Car,Bolita Car,BOLADEF Car"/>
    <w:link w:val="Prrafodelista"/>
    <w:uiPriority w:val="34"/>
    <w:qFormat/>
    <w:locked/>
    <w:rsid w:val="008464F3"/>
    <w:rPr>
      <w:rFonts w:ascii="Arial" w:hAnsi="Arial"/>
      <w:lang w:eastAsia="es-ES"/>
    </w:rPr>
  </w:style>
  <w:style w:type="paragraph" w:customStyle="1" w:styleId="TableParagraph">
    <w:name w:val="Table Paragraph"/>
    <w:basedOn w:val="Normal"/>
    <w:uiPriority w:val="1"/>
    <w:qFormat/>
    <w:rsid w:val="006B68C6"/>
    <w:pPr>
      <w:widowControl w:val="0"/>
      <w:autoSpaceDE w:val="0"/>
      <w:autoSpaceDN w:val="0"/>
      <w:ind w:left="69"/>
    </w:pPr>
    <w:rPr>
      <w:rFonts w:ascii="Arial MT" w:eastAsia="Arial MT" w:hAnsi="Arial MT" w:cs="Arial MT"/>
      <w:sz w:val="22"/>
      <w:szCs w:val="22"/>
      <w:lang w:eastAsia="en-US"/>
    </w:rPr>
  </w:style>
  <w:style w:type="paragraph" w:customStyle="1" w:styleId="Standard">
    <w:name w:val="Standard"/>
    <w:rsid w:val="006B68C6"/>
    <w:pPr>
      <w:suppressAutoHyphens/>
      <w:autoSpaceDN w:val="0"/>
      <w:textAlignment w:val="baseline"/>
    </w:pPr>
    <w:rPr>
      <w:sz w:val="24"/>
      <w:szCs w:val="24"/>
      <w:lang w:eastAsia="es-ES"/>
    </w:rPr>
  </w:style>
  <w:style w:type="table" w:customStyle="1" w:styleId="TableNormal">
    <w:name w:val="Table Normal"/>
    <w:uiPriority w:val="2"/>
    <w:semiHidden/>
    <w:unhideWhenUsed/>
    <w:qFormat/>
    <w:rsid w:val="006B68C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Sinespaciado">
    <w:name w:val="No Spacing"/>
    <w:uiPriority w:val="1"/>
    <w:qFormat/>
    <w:rsid w:val="006B68C6"/>
    <w:rPr>
      <w:rFonts w:ascii="Calibri" w:hAnsi="Calibri"/>
      <w:sz w:val="22"/>
      <w:szCs w:val="22"/>
      <w:lang w:val="es-CO" w:eastAsia="es-CO"/>
    </w:rPr>
  </w:style>
  <w:style w:type="paragraph" w:styleId="Descripcin">
    <w:name w:val="caption"/>
    <w:basedOn w:val="Normal"/>
    <w:next w:val="Normal"/>
    <w:uiPriority w:val="35"/>
    <w:unhideWhenUsed/>
    <w:qFormat/>
    <w:rsid w:val="004D7D85"/>
    <w:pPr>
      <w:spacing w:after="160"/>
    </w:pPr>
    <w:rPr>
      <w:rFonts w:ascii="Calibri" w:hAnsi="Calibri"/>
      <w:b/>
      <w:bCs/>
      <w:smallCaps/>
      <w:color w:val="595959"/>
      <w:sz w:val="22"/>
      <w:szCs w:val="22"/>
      <w:lang w:val="es-CO" w:eastAsia="es-CO"/>
    </w:rPr>
  </w:style>
  <w:style w:type="paragraph" w:styleId="Revisin">
    <w:name w:val="Revision"/>
    <w:hidden/>
    <w:uiPriority w:val="71"/>
    <w:rsid w:val="00B67B11"/>
    <w:rPr>
      <w:rFonts w:ascii="Arial" w:hAnsi="Arial"/>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1767">
      <w:bodyDiv w:val="1"/>
      <w:marLeft w:val="0"/>
      <w:marRight w:val="0"/>
      <w:marTop w:val="0"/>
      <w:marBottom w:val="0"/>
      <w:divBdr>
        <w:top w:val="none" w:sz="0" w:space="0" w:color="auto"/>
        <w:left w:val="none" w:sz="0" w:space="0" w:color="auto"/>
        <w:bottom w:val="none" w:sz="0" w:space="0" w:color="auto"/>
        <w:right w:val="none" w:sz="0" w:space="0" w:color="auto"/>
      </w:divBdr>
      <w:divsChild>
        <w:div w:id="24522885">
          <w:marLeft w:val="0"/>
          <w:marRight w:val="0"/>
          <w:marTop w:val="0"/>
          <w:marBottom w:val="0"/>
          <w:divBdr>
            <w:top w:val="none" w:sz="0" w:space="0" w:color="auto"/>
            <w:left w:val="none" w:sz="0" w:space="0" w:color="auto"/>
            <w:bottom w:val="none" w:sz="0" w:space="0" w:color="auto"/>
            <w:right w:val="none" w:sz="0" w:space="0" w:color="auto"/>
          </w:divBdr>
        </w:div>
        <w:div w:id="52968301">
          <w:marLeft w:val="0"/>
          <w:marRight w:val="0"/>
          <w:marTop w:val="0"/>
          <w:marBottom w:val="0"/>
          <w:divBdr>
            <w:top w:val="none" w:sz="0" w:space="0" w:color="auto"/>
            <w:left w:val="none" w:sz="0" w:space="0" w:color="auto"/>
            <w:bottom w:val="none" w:sz="0" w:space="0" w:color="auto"/>
            <w:right w:val="none" w:sz="0" w:space="0" w:color="auto"/>
          </w:divBdr>
        </w:div>
        <w:div w:id="60444692">
          <w:marLeft w:val="0"/>
          <w:marRight w:val="0"/>
          <w:marTop w:val="0"/>
          <w:marBottom w:val="0"/>
          <w:divBdr>
            <w:top w:val="none" w:sz="0" w:space="0" w:color="auto"/>
            <w:left w:val="none" w:sz="0" w:space="0" w:color="auto"/>
            <w:bottom w:val="none" w:sz="0" w:space="0" w:color="auto"/>
            <w:right w:val="none" w:sz="0" w:space="0" w:color="auto"/>
          </w:divBdr>
        </w:div>
        <w:div w:id="86315207">
          <w:marLeft w:val="0"/>
          <w:marRight w:val="0"/>
          <w:marTop w:val="0"/>
          <w:marBottom w:val="0"/>
          <w:divBdr>
            <w:top w:val="none" w:sz="0" w:space="0" w:color="auto"/>
            <w:left w:val="none" w:sz="0" w:space="0" w:color="auto"/>
            <w:bottom w:val="none" w:sz="0" w:space="0" w:color="auto"/>
            <w:right w:val="none" w:sz="0" w:space="0" w:color="auto"/>
          </w:divBdr>
        </w:div>
        <w:div w:id="90586895">
          <w:marLeft w:val="0"/>
          <w:marRight w:val="0"/>
          <w:marTop w:val="0"/>
          <w:marBottom w:val="0"/>
          <w:divBdr>
            <w:top w:val="none" w:sz="0" w:space="0" w:color="auto"/>
            <w:left w:val="none" w:sz="0" w:space="0" w:color="auto"/>
            <w:bottom w:val="none" w:sz="0" w:space="0" w:color="auto"/>
            <w:right w:val="none" w:sz="0" w:space="0" w:color="auto"/>
          </w:divBdr>
        </w:div>
        <w:div w:id="109281143">
          <w:marLeft w:val="0"/>
          <w:marRight w:val="0"/>
          <w:marTop w:val="0"/>
          <w:marBottom w:val="0"/>
          <w:divBdr>
            <w:top w:val="none" w:sz="0" w:space="0" w:color="auto"/>
            <w:left w:val="none" w:sz="0" w:space="0" w:color="auto"/>
            <w:bottom w:val="none" w:sz="0" w:space="0" w:color="auto"/>
            <w:right w:val="none" w:sz="0" w:space="0" w:color="auto"/>
          </w:divBdr>
        </w:div>
        <w:div w:id="152063386">
          <w:marLeft w:val="0"/>
          <w:marRight w:val="0"/>
          <w:marTop w:val="0"/>
          <w:marBottom w:val="0"/>
          <w:divBdr>
            <w:top w:val="none" w:sz="0" w:space="0" w:color="auto"/>
            <w:left w:val="none" w:sz="0" w:space="0" w:color="auto"/>
            <w:bottom w:val="none" w:sz="0" w:space="0" w:color="auto"/>
            <w:right w:val="none" w:sz="0" w:space="0" w:color="auto"/>
          </w:divBdr>
        </w:div>
        <w:div w:id="189535417">
          <w:marLeft w:val="0"/>
          <w:marRight w:val="0"/>
          <w:marTop w:val="0"/>
          <w:marBottom w:val="0"/>
          <w:divBdr>
            <w:top w:val="none" w:sz="0" w:space="0" w:color="auto"/>
            <w:left w:val="none" w:sz="0" w:space="0" w:color="auto"/>
            <w:bottom w:val="none" w:sz="0" w:space="0" w:color="auto"/>
            <w:right w:val="none" w:sz="0" w:space="0" w:color="auto"/>
          </w:divBdr>
        </w:div>
        <w:div w:id="202252134">
          <w:marLeft w:val="0"/>
          <w:marRight w:val="0"/>
          <w:marTop w:val="0"/>
          <w:marBottom w:val="0"/>
          <w:divBdr>
            <w:top w:val="none" w:sz="0" w:space="0" w:color="auto"/>
            <w:left w:val="none" w:sz="0" w:space="0" w:color="auto"/>
            <w:bottom w:val="none" w:sz="0" w:space="0" w:color="auto"/>
            <w:right w:val="none" w:sz="0" w:space="0" w:color="auto"/>
          </w:divBdr>
        </w:div>
        <w:div w:id="215438094">
          <w:marLeft w:val="0"/>
          <w:marRight w:val="0"/>
          <w:marTop w:val="0"/>
          <w:marBottom w:val="0"/>
          <w:divBdr>
            <w:top w:val="none" w:sz="0" w:space="0" w:color="auto"/>
            <w:left w:val="none" w:sz="0" w:space="0" w:color="auto"/>
            <w:bottom w:val="none" w:sz="0" w:space="0" w:color="auto"/>
            <w:right w:val="none" w:sz="0" w:space="0" w:color="auto"/>
          </w:divBdr>
        </w:div>
        <w:div w:id="278143538">
          <w:marLeft w:val="0"/>
          <w:marRight w:val="0"/>
          <w:marTop w:val="0"/>
          <w:marBottom w:val="0"/>
          <w:divBdr>
            <w:top w:val="none" w:sz="0" w:space="0" w:color="auto"/>
            <w:left w:val="none" w:sz="0" w:space="0" w:color="auto"/>
            <w:bottom w:val="none" w:sz="0" w:space="0" w:color="auto"/>
            <w:right w:val="none" w:sz="0" w:space="0" w:color="auto"/>
          </w:divBdr>
        </w:div>
        <w:div w:id="306783806">
          <w:marLeft w:val="0"/>
          <w:marRight w:val="0"/>
          <w:marTop w:val="0"/>
          <w:marBottom w:val="0"/>
          <w:divBdr>
            <w:top w:val="none" w:sz="0" w:space="0" w:color="auto"/>
            <w:left w:val="none" w:sz="0" w:space="0" w:color="auto"/>
            <w:bottom w:val="none" w:sz="0" w:space="0" w:color="auto"/>
            <w:right w:val="none" w:sz="0" w:space="0" w:color="auto"/>
          </w:divBdr>
        </w:div>
        <w:div w:id="325866708">
          <w:marLeft w:val="0"/>
          <w:marRight w:val="0"/>
          <w:marTop w:val="0"/>
          <w:marBottom w:val="0"/>
          <w:divBdr>
            <w:top w:val="none" w:sz="0" w:space="0" w:color="auto"/>
            <w:left w:val="none" w:sz="0" w:space="0" w:color="auto"/>
            <w:bottom w:val="none" w:sz="0" w:space="0" w:color="auto"/>
            <w:right w:val="none" w:sz="0" w:space="0" w:color="auto"/>
          </w:divBdr>
        </w:div>
        <w:div w:id="338050070">
          <w:marLeft w:val="0"/>
          <w:marRight w:val="0"/>
          <w:marTop w:val="0"/>
          <w:marBottom w:val="0"/>
          <w:divBdr>
            <w:top w:val="none" w:sz="0" w:space="0" w:color="auto"/>
            <w:left w:val="none" w:sz="0" w:space="0" w:color="auto"/>
            <w:bottom w:val="none" w:sz="0" w:space="0" w:color="auto"/>
            <w:right w:val="none" w:sz="0" w:space="0" w:color="auto"/>
          </w:divBdr>
        </w:div>
        <w:div w:id="353459223">
          <w:marLeft w:val="0"/>
          <w:marRight w:val="0"/>
          <w:marTop w:val="0"/>
          <w:marBottom w:val="0"/>
          <w:divBdr>
            <w:top w:val="none" w:sz="0" w:space="0" w:color="auto"/>
            <w:left w:val="none" w:sz="0" w:space="0" w:color="auto"/>
            <w:bottom w:val="none" w:sz="0" w:space="0" w:color="auto"/>
            <w:right w:val="none" w:sz="0" w:space="0" w:color="auto"/>
          </w:divBdr>
        </w:div>
        <w:div w:id="363605497">
          <w:marLeft w:val="0"/>
          <w:marRight w:val="0"/>
          <w:marTop w:val="0"/>
          <w:marBottom w:val="0"/>
          <w:divBdr>
            <w:top w:val="none" w:sz="0" w:space="0" w:color="auto"/>
            <w:left w:val="none" w:sz="0" w:space="0" w:color="auto"/>
            <w:bottom w:val="none" w:sz="0" w:space="0" w:color="auto"/>
            <w:right w:val="none" w:sz="0" w:space="0" w:color="auto"/>
          </w:divBdr>
        </w:div>
        <w:div w:id="374505414">
          <w:marLeft w:val="0"/>
          <w:marRight w:val="0"/>
          <w:marTop w:val="0"/>
          <w:marBottom w:val="0"/>
          <w:divBdr>
            <w:top w:val="none" w:sz="0" w:space="0" w:color="auto"/>
            <w:left w:val="none" w:sz="0" w:space="0" w:color="auto"/>
            <w:bottom w:val="none" w:sz="0" w:space="0" w:color="auto"/>
            <w:right w:val="none" w:sz="0" w:space="0" w:color="auto"/>
          </w:divBdr>
        </w:div>
        <w:div w:id="385616093">
          <w:marLeft w:val="0"/>
          <w:marRight w:val="0"/>
          <w:marTop w:val="0"/>
          <w:marBottom w:val="0"/>
          <w:divBdr>
            <w:top w:val="none" w:sz="0" w:space="0" w:color="auto"/>
            <w:left w:val="none" w:sz="0" w:space="0" w:color="auto"/>
            <w:bottom w:val="none" w:sz="0" w:space="0" w:color="auto"/>
            <w:right w:val="none" w:sz="0" w:space="0" w:color="auto"/>
          </w:divBdr>
        </w:div>
        <w:div w:id="443572627">
          <w:marLeft w:val="0"/>
          <w:marRight w:val="0"/>
          <w:marTop w:val="0"/>
          <w:marBottom w:val="0"/>
          <w:divBdr>
            <w:top w:val="none" w:sz="0" w:space="0" w:color="auto"/>
            <w:left w:val="none" w:sz="0" w:space="0" w:color="auto"/>
            <w:bottom w:val="none" w:sz="0" w:space="0" w:color="auto"/>
            <w:right w:val="none" w:sz="0" w:space="0" w:color="auto"/>
          </w:divBdr>
        </w:div>
        <w:div w:id="447507726">
          <w:marLeft w:val="0"/>
          <w:marRight w:val="0"/>
          <w:marTop w:val="0"/>
          <w:marBottom w:val="0"/>
          <w:divBdr>
            <w:top w:val="none" w:sz="0" w:space="0" w:color="auto"/>
            <w:left w:val="none" w:sz="0" w:space="0" w:color="auto"/>
            <w:bottom w:val="none" w:sz="0" w:space="0" w:color="auto"/>
            <w:right w:val="none" w:sz="0" w:space="0" w:color="auto"/>
          </w:divBdr>
        </w:div>
        <w:div w:id="487088254">
          <w:marLeft w:val="0"/>
          <w:marRight w:val="0"/>
          <w:marTop w:val="0"/>
          <w:marBottom w:val="0"/>
          <w:divBdr>
            <w:top w:val="none" w:sz="0" w:space="0" w:color="auto"/>
            <w:left w:val="none" w:sz="0" w:space="0" w:color="auto"/>
            <w:bottom w:val="none" w:sz="0" w:space="0" w:color="auto"/>
            <w:right w:val="none" w:sz="0" w:space="0" w:color="auto"/>
          </w:divBdr>
        </w:div>
        <w:div w:id="494031091">
          <w:marLeft w:val="0"/>
          <w:marRight w:val="0"/>
          <w:marTop w:val="0"/>
          <w:marBottom w:val="0"/>
          <w:divBdr>
            <w:top w:val="none" w:sz="0" w:space="0" w:color="auto"/>
            <w:left w:val="none" w:sz="0" w:space="0" w:color="auto"/>
            <w:bottom w:val="none" w:sz="0" w:space="0" w:color="auto"/>
            <w:right w:val="none" w:sz="0" w:space="0" w:color="auto"/>
          </w:divBdr>
        </w:div>
        <w:div w:id="494958585">
          <w:marLeft w:val="0"/>
          <w:marRight w:val="0"/>
          <w:marTop w:val="0"/>
          <w:marBottom w:val="0"/>
          <w:divBdr>
            <w:top w:val="none" w:sz="0" w:space="0" w:color="auto"/>
            <w:left w:val="none" w:sz="0" w:space="0" w:color="auto"/>
            <w:bottom w:val="none" w:sz="0" w:space="0" w:color="auto"/>
            <w:right w:val="none" w:sz="0" w:space="0" w:color="auto"/>
          </w:divBdr>
        </w:div>
        <w:div w:id="501703937">
          <w:marLeft w:val="0"/>
          <w:marRight w:val="0"/>
          <w:marTop w:val="0"/>
          <w:marBottom w:val="0"/>
          <w:divBdr>
            <w:top w:val="none" w:sz="0" w:space="0" w:color="auto"/>
            <w:left w:val="none" w:sz="0" w:space="0" w:color="auto"/>
            <w:bottom w:val="none" w:sz="0" w:space="0" w:color="auto"/>
            <w:right w:val="none" w:sz="0" w:space="0" w:color="auto"/>
          </w:divBdr>
        </w:div>
        <w:div w:id="503276965">
          <w:marLeft w:val="0"/>
          <w:marRight w:val="0"/>
          <w:marTop w:val="0"/>
          <w:marBottom w:val="0"/>
          <w:divBdr>
            <w:top w:val="none" w:sz="0" w:space="0" w:color="auto"/>
            <w:left w:val="none" w:sz="0" w:space="0" w:color="auto"/>
            <w:bottom w:val="none" w:sz="0" w:space="0" w:color="auto"/>
            <w:right w:val="none" w:sz="0" w:space="0" w:color="auto"/>
          </w:divBdr>
        </w:div>
        <w:div w:id="551766652">
          <w:marLeft w:val="0"/>
          <w:marRight w:val="0"/>
          <w:marTop w:val="0"/>
          <w:marBottom w:val="0"/>
          <w:divBdr>
            <w:top w:val="none" w:sz="0" w:space="0" w:color="auto"/>
            <w:left w:val="none" w:sz="0" w:space="0" w:color="auto"/>
            <w:bottom w:val="none" w:sz="0" w:space="0" w:color="auto"/>
            <w:right w:val="none" w:sz="0" w:space="0" w:color="auto"/>
          </w:divBdr>
        </w:div>
        <w:div w:id="563956495">
          <w:marLeft w:val="0"/>
          <w:marRight w:val="0"/>
          <w:marTop w:val="0"/>
          <w:marBottom w:val="0"/>
          <w:divBdr>
            <w:top w:val="none" w:sz="0" w:space="0" w:color="auto"/>
            <w:left w:val="none" w:sz="0" w:space="0" w:color="auto"/>
            <w:bottom w:val="none" w:sz="0" w:space="0" w:color="auto"/>
            <w:right w:val="none" w:sz="0" w:space="0" w:color="auto"/>
          </w:divBdr>
        </w:div>
        <w:div w:id="570313707">
          <w:marLeft w:val="0"/>
          <w:marRight w:val="0"/>
          <w:marTop w:val="0"/>
          <w:marBottom w:val="0"/>
          <w:divBdr>
            <w:top w:val="none" w:sz="0" w:space="0" w:color="auto"/>
            <w:left w:val="none" w:sz="0" w:space="0" w:color="auto"/>
            <w:bottom w:val="none" w:sz="0" w:space="0" w:color="auto"/>
            <w:right w:val="none" w:sz="0" w:space="0" w:color="auto"/>
          </w:divBdr>
        </w:div>
        <w:div w:id="608976626">
          <w:marLeft w:val="0"/>
          <w:marRight w:val="0"/>
          <w:marTop w:val="0"/>
          <w:marBottom w:val="0"/>
          <w:divBdr>
            <w:top w:val="none" w:sz="0" w:space="0" w:color="auto"/>
            <w:left w:val="none" w:sz="0" w:space="0" w:color="auto"/>
            <w:bottom w:val="none" w:sz="0" w:space="0" w:color="auto"/>
            <w:right w:val="none" w:sz="0" w:space="0" w:color="auto"/>
          </w:divBdr>
        </w:div>
        <w:div w:id="615601607">
          <w:marLeft w:val="0"/>
          <w:marRight w:val="0"/>
          <w:marTop w:val="0"/>
          <w:marBottom w:val="0"/>
          <w:divBdr>
            <w:top w:val="none" w:sz="0" w:space="0" w:color="auto"/>
            <w:left w:val="none" w:sz="0" w:space="0" w:color="auto"/>
            <w:bottom w:val="none" w:sz="0" w:space="0" w:color="auto"/>
            <w:right w:val="none" w:sz="0" w:space="0" w:color="auto"/>
          </w:divBdr>
        </w:div>
        <w:div w:id="615991533">
          <w:marLeft w:val="0"/>
          <w:marRight w:val="0"/>
          <w:marTop w:val="0"/>
          <w:marBottom w:val="0"/>
          <w:divBdr>
            <w:top w:val="none" w:sz="0" w:space="0" w:color="auto"/>
            <w:left w:val="none" w:sz="0" w:space="0" w:color="auto"/>
            <w:bottom w:val="none" w:sz="0" w:space="0" w:color="auto"/>
            <w:right w:val="none" w:sz="0" w:space="0" w:color="auto"/>
          </w:divBdr>
        </w:div>
        <w:div w:id="623007097">
          <w:marLeft w:val="0"/>
          <w:marRight w:val="0"/>
          <w:marTop w:val="0"/>
          <w:marBottom w:val="0"/>
          <w:divBdr>
            <w:top w:val="none" w:sz="0" w:space="0" w:color="auto"/>
            <w:left w:val="none" w:sz="0" w:space="0" w:color="auto"/>
            <w:bottom w:val="none" w:sz="0" w:space="0" w:color="auto"/>
            <w:right w:val="none" w:sz="0" w:space="0" w:color="auto"/>
          </w:divBdr>
        </w:div>
        <w:div w:id="641542033">
          <w:marLeft w:val="0"/>
          <w:marRight w:val="0"/>
          <w:marTop w:val="0"/>
          <w:marBottom w:val="0"/>
          <w:divBdr>
            <w:top w:val="none" w:sz="0" w:space="0" w:color="auto"/>
            <w:left w:val="none" w:sz="0" w:space="0" w:color="auto"/>
            <w:bottom w:val="none" w:sz="0" w:space="0" w:color="auto"/>
            <w:right w:val="none" w:sz="0" w:space="0" w:color="auto"/>
          </w:divBdr>
        </w:div>
        <w:div w:id="641665254">
          <w:marLeft w:val="0"/>
          <w:marRight w:val="0"/>
          <w:marTop w:val="0"/>
          <w:marBottom w:val="0"/>
          <w:divBdr>
            <w:top w:val="none" w:sz="0" w:space="0" w:color="auto"/>
            <w:left w:val="none" w:sz="0" w:space="0" w:color="auto"/>
            <w:bottom w:val="none" w:sz="0" w:space="0" w:color="auto"/>
            <w:right w:val="none" w:sz="0" w:space="0" w:color="auto"/>
          </w:divBdr>
        </w:div>
        <w:div w:id="649478874">
          <w:marLeft w:val="0"/>
          <w:marRight w:val="0"/>
          <w:marTop w:val="0"/>
          <w:marBottom w:val="0"/>
          <w:divBdr>
            <w:top w:val="none" w:sz="0" w:space="0" w:color="auto"/>
            <w:left w:val="none" w:sz="0" w:space="0" w:color="auto"/>
            <w:bottom w:val="none" w:sz="0" w:space="0" w:color="auto"/>
            <w:right w:val="none" w:sz="0" w:space="0" w:color="auto"/>
          </w:divBdr>
        </w:div>
        <w:div w:id="673261474">
          <w:marLeft w:val="0"/>
          <w:marRight w:val="0"/>
          <w:marTop w:val="0"/>
          <w:marBottom w:val="0"/>
          <w:divBdr>
            <w:top w:val="none" w:sz="0" w:space="0" w:color="auto"/>
            <w:left w:val="none" w:sz="0" w:space="0" w:color="auto"/>
            <w:bottom w:val="none" w:sz="0" w:space="0" w:color="auto"/>
            <w:right w:val="none" w:sz="0" w:space="0" w:color="auto"/>
          </w:divBdr>
        </w:div>
        <w:div w:id="688216609">
          <w:marLeft w:val="0"/>
          <w:marRight w:val="0"/>
          <w:marTop w:val="0"/>
          <w:marBottom w:val="0"/>
          <w:divBdr>
            <w:top w:val="none" w:sz="0" w:space="0" w:color="auto"/>
            <w:left w:val="none" w:sz="0" w:space="0" w:color="auto"/>
            <w:bottom w:val="none" w:sz="0" w:space="0" w:color="auto"/>
            <w:right w:val="none" w:sz="0" w:space="0" w:color="auto"/>
          </w:divBdr>
        </w:div>
        <w:div w:id="689337354">
          <w:marLeft w:val="0"/>
          <w:marRight w:val="0"/>
          <w:marTop w:val="0"/>
          <w:marBottom w:val="0"/>
          <w:divBdr>
            <w:top w:val="none" w:sz="0" w:space="0" w:color="auto"/>
            <w:left w:val="none" w:sz="0" w:space="0" w:color="auto"/>
            <w:bottom w:val="none" w:sz="0" w:space="0" w:color="auto"/>
            <w:right w:val="none" w:sz="0" w:space="0" w:color="auto"/>
          </w:divBdr>
        </w:div>
        <w:div w:id="689533371">
          <w:marLeft w:val="0"/>
          <w:marRight w:val="0"/>
          <w:marTop w:val="0"/>
          <w:marBottom w:val="0"/>
          <w:divBdr>
            <w:top w:val="none" w:sz="0" w:space="0" w:color="auto"/>
            <w:left w:val="none" w:sz="0" w:space="0" w:color="auto"/>
            <w:bottom w:val="none" w:sz="0" w:space="0" w:color="auto"/>
            <w:right w:val="none" w:sz="0" w:space="0" w:color="auto"/>
          </w:divBdr>
        </w:div>
        <w:div w:id="697776296">
          <w:marLeft w:val="0"/>
          <w:marRight w:val="0"/>
          <w:marTop w:val="0"/>
          <w:marBottom w:val="0"/>
          <w:divBdr>
            <w:top w:val="none" w:sz="0" w:space="0" w:color="auto"/>
            <w:left w:val="none" w:sz="0" w:space="0" w:color="auto"/>
            <w:bottom w:val="none" w:sz="0" w:space="0" w:color="auto"/>
            <w:right w:val="none" w:sz="0" w:space="0" w:color="auto"/>
          </w:divBdr>
        </w:div>
        <w:div w:id="730008699">
          <w:marLeft w:val="0"/>
          <w:marRight w:val="0"/>
          <w:marTop w:val="0"/>
          <w:marBottom w:val="0"/>
          <w:divBdr>
            <w:top w:val="none" w:sz="0" w:space="0" w:color="auto"/>
            <w:left w:val="none" w:sz="0" w:space="0" w:color="auto"/>
            <w:bottom w:val="none" w:sz="0" w:space="0" w:color="auto"/>
            <w:right w:val="none" w:sz="0" w:space="0" w:color="auto"/>
          </w:divBdr>
        </w:div>
        <w:div w:id="748036152">
          <w:marLeft w:val="0"/>
          <w:marRight w:val="0"/>
          <w:marTop w:val="0"/>
          <w:marBottom w:val="0"/>
          <w:divBdr>
            <w:top w:val="none" w:sz="0" w:space="0" w:color="auto"/>
            <w:left w:val="none" w:sz="0" w:space="0" w:color="auto"/>
            <w:bottom w:val="none" w:sz="0" w:space="0" w:color="auto"/>
            <w:right w:val="none" w:sz="0" w:space="0" w:color="auto"/>
          </w:divBdr>
        </w:div>
        <w:div w:id="763691379">
          <w:marLeft w:val="0"/>
          <w:marRight w:val="0"/>
          <w:marTop w:val="0"/>
          <w:marBottom w:val="0"/>
          <w:divBdr>
            <w:top w:val="none" w:sz="0" w:space="0" w:color="auto"/>
            <w:left w:val="none" w:sz="0" w:space="0" w:color="auto"/>
            <w:bottom w:val="none" w:sz="0" w:space="0" w:color="auto"/>
            <w:right w:val="none" w:sz="0" w:space="0" w:color="auto"/>
          </w:divBdr>
        </w:div>
        <w:div w:id="788353393">
          <w:marLeft w:val="0"/>
          <w:marRight w:val="0"/>
          <w:marTop w:val="0"/>
          <w:marBottom w:val="0"/>
          <w:divBdr>
            <w:top w:val="none" w:sz="0" w:space="0" w:color="auto"/>
            <w:left w:val="none" w:sz="0" w:space="0" w:color="auto"/>
            <w:bottom w:val="none" w:sz="0" w:space="0" w:color="auto"/>
            <w:right w:val="none" w:sz="0" w:space="0" w:color="auto"/>
          </w:divBdr>
        </w:div>
        <w:div w:id="812871285">
          <w:marLeft w:val="0"/>
          <w:marRight w:val="0"/>
          <w:marTop w:val="0"/>
          <w:marBottom w:val="0"/>
          <w:divBdr>
            <w:top w:val="none" w:sz="0" w:space="0" w:color="auto"/>
            <w:left w:val="none" w:sz="0" w:space="0" w:color="auto"/>
            <w:bottom w:val="none" w:sz="0" w:space="0" w:color="auto"/>
            <w:right w:val="none" w:sz="0" w:space="0" w:color="auto"/>
          </w:divBdr>
        </w:div>
        <w:div w:id="816459863">
          <w:marLeft w:val="0"/>
          <w:marRight w:val="0"/>
          <w:marTop w:val="0"/>
          <w:marBottom w:val="0"/>
          <w:divBdr>
            <w:top w:val="none" w:sz="0" w:space="0" w:color="auto"/>
            <w:left w:val="none" w:sz="0" w:space="0" w:color="auto"/>
            <w:bottom w:val="none" w:sz="0" w:space="0" w:color="auto"/>
            <w:right w:val="none" w:sz="0" w:space="0" w:color="auto"/>
          </w:divBdr>
        </w:div>
        <w:div w:id="823277463">
          <w:marLeft w:val="0"/>
          <w:marRight w:val="0"/>
          <w:marTop w:val="0"/>
          <w:marBottom w:val="0"/>
          <w:divBdr>
            <w:top w:val="none" w:sz="0" w:space="0" w:color="auto"/>
            <w:left w:val="none" w:sz="0" w:space="0" w:color="auto"/>
            <w:bottom w:val="none" w:sz="0" w:space="0" w:color="auto"/>
            <w:right w:val="none" w:sz="0" w:space="0" w:color="auto"/>
          </w:divBdr>
        </w:div>
        <w:div w:id="824467727">
          <w:marLeft w:val="0"/>
          <w:marRight w:val="0"/>
          <w:marTop w:val="0"/>
          <w:marBottom w:val="0"/>
          <w:divBdr>
            <w:top w:val="none" w:sz="0" w:space="0" w:color="auto"/>
            <w:left w:val="none" w:sz="0" w:space="0" w:color="auto"/>
            <w:bottom w:val="none" w:sz="0" w:space="0" w:color="auto"/>
            <w:right w:val="none" w:sz="0" w:space="0" w:color="auto"/>
          </w:divBdr>
        </w:div>
        <w:div w:id="839123698">
          <w:marLeft w:val="0"/>
          <w:marRight w:val="0"/>
          <w:marTop w:val="0"/>
          <w:marBottom w:val="0"/>
          <w:divBdr>
            <w:top w:val="none" w:sz="0" w:space="0" w:color="auto"/>
            <w:left w:val="none" w:sz="0" w:space="0" w:color="auto"/>
            <w:bottom w:val="none" w:sz="0" w:space="0" w:color="auto"/>
            <w:right w:val="none" w:sz="0" w:space="0" w:color="auto"/>
          </w:divBdr>
        </w:div>
        <w:div w:id="840394213">
          <w:marLeft w:val="0"/>
          <w:marRight w:val="0"/>
          <w:marTop w:val="0"/>
          <w:marBottom w:val="0"/>
          <w:divBdr>
            <w:top w:val="none" w:sz="0" w:space="0" w:color="auto"/>
            <w:left w:val="none" w:sz="0" w:space="0" w:color="auto"/>
            <w:bottom w:val="none" w:sz="0" w:space="0" w:color="auto"/>
            <w:right w:val="none" w:sz="0" w:space="0" w:color="auto"/>
          </w:divBdr>
        </w:div>
        <w:div w:id="858615942">
          <w:marLeft w:val="0"/>
          <w:marRight w:val="0"/>
          <w:marTop w:val="0"/>
          <w:marBottom w:val="0"/>
          <w:divBdr>
            <w:top w:val="none" w:sz="0" w:space="0" w:color="auto"/>
            <w:left w:val="none" w:sz="0" w:space="0" w:color="auto"/>
            <w:bottom w:val="none" w:sz="0" w:space="0" w:color="auto"/>
            <w:right w:val="none" w:sz="0" w:space="0" w:color="auto"/>
          </w:divBdr>
        </w:div>
        <w:div w:id="864637193">
          <w:marLeft w:val="0"/>
          <w:marRight w:val="0"/>
          <w:marTop w:val="0"/>
          <w:marBottom w:val="0"/>
          <w:divBdr>
            <w:top w:val="none" w:sz="0" w:space="0" w:color="auto"/>
            <w:left w:val="none" w:sz="0" w:space="0" w:color="auto"/>
            <w:bottom w:val="none" w:sz="0" w:space="0" w:color="auto"/>
            <w:right w:val="none" w:sz="0" w:space="0" w:color="auto"/>
          </w:divBdr>
        </w:div>
        <w:div w:id="900821713">
          <w:marLeft w:val="0"/>
          <w:marRight w:val="0"/>
          <w:marTop w:val="0"/>
          <w:marBottom w:val="0"/>
          <w:divBdr>
            <w:top w:val="none" w:sz="0" w:space="0" w:color="auto"/>
            <w:left w:val="none" w:sz="0" w:space="0" w:color="auto"/>
            <w:bottom w:val="none" w:sz="0" w:space="0" w:color="auto"/>
            <w:right w:val="none" w:sz="0" w:space="0" w:color="auto"/>
          </w:divBdr>
        </w:div>
        <w:div w:id="904687292">
          <w:marLeft w:val="0"/>
          <w:marRight w:val="0"/>
          <w:marTop w:val="0"/>
          <w:marBottom w:val="0"/>
          <w:divBdr>
            <w:top w:val="none" w:sz="0" w:space="0" w:color="auto"/>
            <w:left w:val="none" w:sz="0" w:space="0" w:color="auto"/>
            <w:bottom w:val="none" w:sz="0" w:space="0" w:color="auto"/>
            <w:right w:val="none" w:sz="0" w:space="0" w:color="auto"/>
          </w:divBdr>
        </w:div>
        <w:div w:id="905266979">
          <w:marLeft w:val="0"/>
          <w:marRight w:val="0"/>
          <w:marTop w:val="0"/>
          <w:marBottom w:val="0"/>
          <w:divBdr>
            <w:top w:val="none" w:sz="0" w:space="0" w:color="auto"/>
            <w:left w:val="none" w:sz="0" w:space="0" w:color="auto"/>
            <w:bottom w:val="none" w:sz="0" w:space="0" w:color="auto"/>
            <w:right w:val="none" w:sz="0" w:space="0" w:color="auto"/>
          </w:divBdr>
        </w:div>
        <w:div w:id="930894110">
          <w:marLeft w:val="0"/>
          <w:marRight w:val="0"/>
          <w:marTop w:val="0"/>
          <w:marBottom w:val="0"/>
          <w:divBdr>
            <w:top w:val="none" w:sz="0" w:space="0" w:color="auto"/>
            <w:left w:val="none" w:sz="0" w:space="0" w:color="auto"/>
            <w:bottom w:val="none" w:sz="0" w:space="0" w:color="auto"/>
            <w:right w:val="none" w:sz="0" w:space="0" w:color="auto"/>
          </w:divBdr>
        </w:div>
        <w:div w:id="951714157">
          <w:marLeft w:val="0"/>
          <w:marRight w:val="0"/>
          <w:marTop w:val="0"/>
          <w:marBottom w:val="0"/>
          <w:divBdr>
            <w:top w:val="none" w:sz="0" w:space="0" w:color="auto"/>
            <w:left w:val="none" w:sz="0" w:space="0" w:color="auto"/>
            <w:bottom w:val="none" w:sz="0" w:space="0" w:color="auto"/>
            <w:right w:val="none" w:sz="0" w:space="0" w:color="auto"/>
          </w:divBdr>
        </w:div>
        <w:div w:id="957446437">
          <w:marLeft w:val="0"/>
          <w:marRight w:val="0"/>
          <w:marTop w:val="0"/>
          <w:marBottom w:val="0"/>
          <w:divBdr>
            <w:top w:val="none" w:sz="0" w:space="0" w:color="auto"/>
            <w:left w:val="none" w:sz="0" w:space="0" w:color="auto"/>
            <w:bottom w:val="none" w:sz="0" w:space="0" w:color="auto"/>
            <w:right w:val="none" w:sz="0" w:space="0" w:color="auto"/>
          </w:divBdr>
        </w:div>
        <w:div w:id="967778458">
          <w:marLeft w:val="0"/>
          <w:marRight w:val="0"/>
          <w:marTop w:val="0"/>
          <w:marBottom w:val="0"/>
          <w:divBdr>
            <w:top w:val="none" w:sz="0" w:space="0" w:color="auto"/>
            <w:left w:val="none" w:sz="0" w:space="0" w:color="auto"/>
            <w:bottom w:val="none" w:sz="0" w:space="0" w:color="auto"/>
            <w:right w:val="none" w:sz="0" w:space="0" w:color="auto"/>
          </w:divBdr>
        </w:div>
        <w:div w:id="1060133219">
          <w:marLeft w:val="0"/>
          <w:marRight w:val="0"/>
          <w:marTop w:val="0"/>
          <w:marBottom w:val="0"/>
          <w:divBdr>
            <w:top w:val="none" w:sz="0" w:space="0" w:color="auto"/>
            <w:left w:val="none" w:sz="0" w:space="0" w:color="auto"/>
            <w:bottom w:val="none" w:sz="0" w:space="0" w:color="auto"/>
            <w:right w:val="none" w:sz="0" w:space="0" w:color="auto"/>
          </w:divBdr>
        </w:div>
        <w:div w:id="1061562496">
          <w:marLeft w:val="0"/>
          <w:marRight w:val="0"/>
          <w:marTop w:val="0"/>
          <w:marBottom w:val="0"/>
          <w:divBdr>
            <w:top w:val="none" w:sz="0" w:space="0" w:color="auto"/>
            <w:left w:val="none" w:sz="0" w:space="0" w:color="auto"/>
            <w:bottom w:val="none" w:sz="0" w:space="0" w:color="auto"/>
            <w:right w:val="none" w:sz="0" w:space="0" w:color="auto"/>
          </w:divBdr>
        </w:div>
        <w:div w:id="1066301406">
          <w:marLeft w:val="0"/>
          <w:marRight w:val="0"/>
          <w:marTop w:val="0"/>
          <w:marBottom w:val="0"/>
          <w:divBdr>
            <w:top w:val="none" w:sz="0" w:space="0" w:color="auto"/>
            <w:left w:val="none" w:sz="0" w:space="0" w:color="auto"/>
            <w:bottom w:val="none" w:sz="0" w:space="0" w:color="auto"/>
            <w:right w:val="none" w:sz="0" w:space="0" w:color="auto"/>
          </w:divBdr>
        </w:div>
        <w:div w:id="1093471614">
          <w:marLeft w:val="0"/>
          <w:marRight w:val="0"/>
          <w:marTop w:val="0"/>
          <w:marBottom w:val="0"/>
          <w:divBdr>
            <w:top w:val="none" w:sz="0" w:space="0" w:color="auto"/>
            <w:left w:val="none" w:sz="0" w:space="0" w:color="auto"/>
            <w:bottom w:val="none" w:sz="0" w:space="0" w:color="auto"/>
            <w:right w:val="none" w:sz="0" w:space="0" w:color="auto"/>
          </w:divBdr>
        </w:div>
        <w:div w:id="1123958552">
          <w:marLeft w:val="0"/>
          <w:marRight w:val="0"/>
          <w:marTop w:val="0"/>
          <w:marBottom w:val="0"/>
          <w:divBdr>
            <w:top w:val="none" w:sz="0" w:space="0" w:color="auto"/>
            <w:left w:val="none" w:sz="0" w:space="0" w:color="auto"/>
            <w:bottom w:val="none" w:sz="0" w:space="0" w:color="auto"/>
            <w:right w:val="none" w:sz="0" w:space="0" w:color="auto"/>
          </w:divBdr>
        </w:div>
        <w:div w:id="1161508965">
          <w:marLeft w:val="0"/>
          <w:marRight w:val="0"/>
          <w:marTop w:val="0"/>
          <w:marBottom w:val="0"/>
          <w:divBdr>
            <w:top w:val="none" w:sz="0" w:space="0" w:color="auto"/>
            <w:left w:val="none" w:sz="0" w:space="0" w:color="auto"/>
            <w:bottom w:val="none" w:sz="0" w:space="0" w:color="auto"/>
            <w:right w:val="none" w:sz="0" w:space="0" w:color="auto"/>
          </w:divBdr>
        </w:div>
        <w:div w:id="1204175609">
          <w:marLeft w:val="0"/>
          <w:marRight w:val="0"/>
          <w:marTop w:val="0"/>
          <w:marBottom w:val="0"/>
          <w:divBdr>
            <w:top w:val="none" w:sz="0" w:space="0" w:color="auto"/>
            <w:left w:val="none" w:sz="0" w:space="0" w:color="auto"/>
            <w:bottom w:val="none" w:sz="0" w:space="0" w:color="auto"/>
            <w:right w:val="none" w:sz="0" w:space="0" w:color="auto"/>
          </w:divBdr>
        </w:div>
        <w:div w:id="1211040931">
          <w:marLeft w:val="0"/>
          <w:marRight w:val="0"/>
          <w:marTop w:val="0"/>
          <w:marBottom w:val="0"/>
          <w:divBdr>
            <w:top w:val="none" w:sz="0" w:space="0" w:color="auto"/>
            <w:left w:val="none" w:sz="0" w:space="0" w:color="auto"/>
            <w:bottom w:val="none" w:sz="0" w:space="0" w:color="auto"/>
            <w:right w:val="none" w:sz="0" w:space="0" w:color="auto"/>
          </w:divBdr>
        </w:div>
        <w:div w:id="1211957850">
          <w:marLeft w:val="0"/>
          <w:marRight w:val="0"/>
          <w:marTop w:val="0"/>
          <w:marBottom w:val="0"/>
          <w:divBdr>
            <w:top w:val="none" w:sz="0" w:space="0" w:color="auto"/>
            <w:left w:val="none" w:sz="0" w:space="0" w:color="auto"/>
            <w:bottom w:val="none" w:sz="0" w:space="0" w:color="auto"/>
            <w:right w:val="none" w:sz="0" w:space="0" w:color="auto"/>
          </w:divBdr>
        </w:div>
        <w:div w:id="1276404860">
          <w:marLeft w:val="0"/>
          <w:marRight w:val="0"/>
          <w:marTop w:val="0"/>
          <w:marBottom w:val="0"/>
          <w:divBdr>
            <w:top w:val="none" w:sz="0" w:space="0" w:color="auto"/>
            <w:left w:val="none" w:sz="0" w:space="0" w:color="auto"/>
            <w:bottom w:val="none" w:sz="0" w:space="0" w:color="auto"/>
            <w:right w:val="none" w:sz="0" w:space="0" w:color="auto"/>
          </w:divBdr>
        </w:div>
        <w:div w:id="1280263729">
          <w:marLeft w:val="0"/>
          <w:marRight w:val="0"/>
          <w:marTop w:val="0"/>
          <w:marBottom w:val="0"/>
          <w:divBdr>
            <w:top w:val="none" w:sz="0" w:space="0" w:color="auto"/>
            <w:left w:val="none" w:sz="0" w:space="0" w:color="auto"/>
            <w:bottom w:val="none" w:sz="0" w:space="0" w:color="auto"/>
            <w:right w:val="none" w:sz="0" w:space="0" w:color="auto"/>
          </w:divBdr>
        </w:div>
        <w:div w:id="1288774829">
          <w:marLeft w:val="0"/>
          <w:marRight w:val="0"/>
          <w:marTop w:val="0"/>
          <w:marBottom w:val="0"/>
          <w:divBdr>
            <w:top w:val="none" w:sz="0" w:space="0" w:color="auto"/>
            <w:left w:val="none" w:sz="0" w:space="0" w:color="auto"/>
            <w:bottom w:val="none" w:sz="0" w:space="0" w:color="auto"/>
            <w:right w:val="none" w:sz="0" w:space="0" w:color="auto"/>
          </w:divBdr>
        </w:div>
        <w:div w:id="1365522379">
          <w:marLeft w:val="0"/>
          <w:marRight w:val="0"/>
          <w:marTop w:val="0"/>
          <w:marBottom w:val="0"/>
          <w:divBdr>
            <w:top w:val="none" w:sz="0" w:space="0" w:color="auto"/>
            <w:left w:val="none" w:sz="0" w:space="0" w:color="auto"/>
            <w:bottom w:val="none" w:sz="0" w:space="0" w:color="auto"/>
            <w:right w:val="none" w:sz="0" w:space="0" w:color="auto"/>
          </w:divBdr>
        </w:div>
        <w:div w:id="1369645385">
          <w:marLeft w:val="0"/>
          <w:marRight w:val="0"/>
          <w:marTop w:val="0"/>
          <w:marBottom w:val="0"/>
          <w:divBdr>
            <w:top w:val="none" w:sz="0" w:space="0" w:color="auto"/>
            <w:left w:val="none" w:sz="0" w:space="0" w:color="auto"/>
            <w:bottom w:val="none" w:sz="0" w:space="0" w:color="auto"/>
            <w:right w:val="none" w:sz="0" w:space="0" w:color="auto"/>
          </w:divBdr>
        </w:div>
        <w:div w:id="1381319302">
          <w:marLeft w:val="0"/>
          <w:marRight w:val="0"/>
          <w:marTop w:val="0"/>
          <w:marBottom w:val="0"/>
          <w:divBdr>
            <w:top w:val="none" w:sz="0" w:space="0" w:color="auto"/>
            <w:left w:val="none" w:sz="0" w:space="0" w:color="auto"/>
            <w:bottom w:val="none" w:sz="0" w:space="0" w:color="auto"/>
            <w:right w:val="none" w:sz="0" w:space="0" w:color="auto"/>
          </w:divBdr>
        </w:div>
        <w:div w:id="1392192633">
          <w:marLeft w:val="0"/>
          <w:marRight w:val="0"/>
          <w:marTop w:val="0"/>
          <w:marBottom w:val="0"/>
          <w:divBdr>
            <w:top w:val="none" w:sz="0" w:space="0" w:color="auto"/>
            <w:left w:val="none" w:sz="0" w:space="0" w:color="auto"/>
            <w:bottom w:val="none" w:sz="0" w:space="0" w:color="auto"/>
            <w:right w:val="none" w:sz="0" w:space="0" w:color="auto"/>
          </w:divBdr>
        </w:div>
        <w:div w:id="1435438914">
          <w:marLeft w:val="0"/>
          <w:marRight w:val="0"/>
          <w:marTop w:val="0"/>
          <w:marBottom w:val="0"/>
          <w:divBdr>
            <w:top w:val="none" w:sz="0" w:space="0" w:color="auto"/>
            <w:left w:val="none" w:sz="0" w:space="0" w:color="auto"/>
            <w:bottom w:val="none" w:sz="0" w:space="0" w:color="auto"/>
            <w:right w:val="none" w:sz="0" w:space="0" w:color="auto"/>
          </w:divBdr>
        </w:div>
        <w:div w:id="1447000133">
          <w:marLeft w:val="0"/>
          <w:marRight w:val="0"/>
          <w:marTop w:val="0"/>
          <w:marBottom w:val="0"/>
          <w:divBdr>
            <w:top w:val="none" w:sz="0" w:space="0" w:color="auto"/>
            <w:left w:val="none" w:sz="0" w:space="0" w:color="auto"/>
            <w:bottom w:val="none" w:sz="0" w:space="0" w:color="auto"/>
            <w:right w:val="none" w:sz="0" w:space="0" w:color="auto"/>
          </w:divBdr>
        </w:div>
        <w:div w:id="1485200978">
          <w:marLeft w:val="0"/>
          <w:marRight w:val="0"/>
          <w:marTop w:val="0"/>
          <w:marBottom w:val="0"/>
          <w:divBdr>
            <w:top w:val="none" w:sz="0" w:space="0" w:color="auto"/>
            <w:left w:val="none" w:sz="0" w:space="0" w:color="auto"/>
            <w:bottom w:val="none" w:sz="0" w:space="0" w:color="auto"/>
            <w:right w:val="none" w:sz="0" w:space="0" w:color="auto"/>
          </w:divBdr>
        </w:div>
        <w:div w:id="1501701701">
          <w:marLeft w:val="0"/>
          <w:marRight w:val="0"/>
          <w:marTop w:val="0"/>
          <w:marBottom w:val="0"/>
          <w:divBdr>
            <w:top w:val="none" w:sz="0" w:space="0" w:color="auto"/>
            <w:left w:val="none" w:sz="0" w:space="0" w:color="auto"/>
            <w:bottom w:val="none" w:sz="0" w:space="0" w:color="auto"/>
            <w:right w:val="none" w:sz="0" w:space="0" w:color="auto"/>
          </w:divBdr>
        </w:div>
        <w:div w:id="1548879477">
          <w:marLeft w:val="0"/>
          <w:marRight w:val="0"/>
          <w:marTop w:val="0"/>
          <w:marBottom w:val="0"/>
          <w:divBdr>
            <w:top w:val="none" w:sz="0" w:space="0" w:color="auto"/>
            <w:left w:val="none" w:sz="0" w:space="0" w:color="auto"/>
            <w:bottom w:val="none" w:sz="0" w:space="0" w:color="auto"/>
            <w:right w:val="none" w:sz="0" w:space="0" w:color="auto"/>
          </w:divBdr>
        </w:div>
        <w:div w:id="1552158001">
          <w:marLeft w:val="0"/>
          <w:marRight w:val="0"/>
          <w:marTop w:val="0"/>
          <w:marBottom w:val="0"/>
          <w:divBdr>
            <w:top w:val="none" w:sz="0" w:space="0" w:color="auto"/>
            <w:left w:val="none" w:sz="0" w:space="0" w:color="auto"/>
            <w:bottom w:val="none" w:sz="0" w:space="0" w:color="auto"/>
            <w:right w:val="none" w:sz="0" w:space="0" w:color="auto"/>
          </w:divBdr>
        </w:div>
        <w:div w:id="1554729617">
          <w:marLeft w:val="0"/>
          <w:marRight w:val="0"/>
          <w:marTop w:val="0"/>
          <w:marBottom w:val="0"/>
          <w:divBdr>
            <w:top w:val="none" w:sz="0" w:space="0" w:color="auto"/>
            <w:left w:val="none" w:sz="0" w:space="0" w:color="auto"/>
            <w:bottom w:val="none" w:sz="0" w:space="0" w:color="auto"/>
            <w:right w:val="none" w:sz="0" w:space="0" w:color="auto"/>
          </w:divBdr>
        </w:div>
        <w:div w:id="1577090000">
          <w:marLeft w:val="0"/>
          <w:marRight w:val="0"/>
          <w:marTop w:val="0"/>
          <w:marBottom w:val="0"/>
          <w:divBdr>
            <w:top w:val="none" w:sz="0" w:space="0" w:color="auto"/>
            <w:left w:val="none" w:sz="0" w:space="0" w:color="auto"/>
            <w:bottom w:val="none" w:sz="0" w:space="0" w:color="auto"/>
            <w:right w:val="none" w:sz="0" w:space="0" w:color="auto"/>
          </w:divBdr>
        </w:div>
        <w:div w:id="1582176010">
          <w:marLeft w:val="0"/>
          <w:marRight w:val="0"/>
          <w:marTop w:val="0"/>
          <w:marBottom w:val="0"/>
          <w:divBdr>
            <w:top w:val="none" w:sz="0" w:space="0" w:color="auto"/>
            <w:left w:val="none" w:sz="0" w:space="0" w:color="auto"/>
            <w:bottom w:val="none" w:sz="0" w:space="0" w:color="auto"/>
            <w:right w:val="none" w:sz="0" w:space="0" w:color="auto"/>
          </w:divBdr>
        </w:div>
        <w:div w:id="1586265702">
          <w:marLeft w:val="0"/>
          <w:marRight w:val="0"/>
          <w:marTop w:val="0"/>
          <w:marBottom w:val="0"/>
          <w:divBdr>
            <w:top w:val="none" w:sz="0" w:space="0" w:color="auto"/>
            <w:left w:val="none" w:sz="0" w:space="0" w:color="auto"/>
            <w:bottom w:val="none" w:sz="0" w:space="0" w:color="auto"/>
            <w:right w:val="none" w:sz="0" w:space="0" w:color="auto"/>
          </w:divBdr>
        </w:div>
        <w:div w:id="1617256684">
          <w:marLeft w:val="0"/>
          <w:marRight w:val="0"/>
          <w:marTop w:val="0"/>
          <w:marBottom w:val="0"/>
          <w:divBdr>
            <w:top w:val="none" w:sz="0" w:space="0" w:color="auto"/>
            <w:left w:val="none" w:sz="0" w:space="0" w:color="auto"/>
            <w:bottom w:val="none" w:sz="0" w:space="0" w:color="auto"/>
            <w:right w:val="none" w:sz="0" w:space="0" w:color="auto"/>
          </w:divBdr>
        </w:div>
        <w:div w:id="1634556121">
          <w:marLeft w:val="0"/>
          <w:marRight w:val="0"/>
          <w:marTop w:val="0"/>
          <w:marBottom w:val="0"/>
          <w:divBdr>
            <w:top w:val="none" w:sz="0" w:space="0" w:color="auto"/>
            <w:left w:val="none" w:sz="0" w:space="0" w:color="auto"/>
            <w:bottom w:val="none" w:sz="0" w:space="0" w:color="auto"/>
            <w:right w:val="none" w:sz="0" w:space="0" w:color="auto"/>
          </w:divBdr>
        </w:div>
        <w:div w:id="1638342001">
          <w:marLeft w:val="0"/>
          <w:marRight w:val="0"/>
          <w:marTop w:val="0"/>
          <w:marBottom w:val="0"/>
          <w:divBdr>
            <w:top w:val="none" w:sz="0" w:space="0" w:color="auto"/>
            <w:left w:val="none" w:sz="0" w:space="0" w:color="auto"/>
            <w:bottom w:val="none" w:sz="0" w:space="0" w:color="auto"/>
            <w:right w:val="none" w:sz="0" w:space="0" w:color="auto"/>
          </w:divBdr>
        </w:div>
        <w:div w:id="1660495250">
          <w:marLeft w:val="0"/>
          <w:marRight w:val="0"/>
          <w:marTop w:val="0"/>
          <w:marBottom w:val="0"/>
          <w:divBdr>
            <w:top w:val="none" w:sz="0" w:space="0" w:color="auto"/>
            <w:left w:val="none" w:sz="0" w:space="0" w:color="auto"/>
            <w:bottom w:val="none" w:sz="0" w:space="0" w:color="auto"/>
            <w:right w:val="none" w:sz="0" w:space="0" w:color="auto"/>
          </w:divBdr>
        </w:div>
        <w:div w:id="1688674498">
          <w:marLeft w:val="0"/>
          <w:marRight w:val="0"/>
          <w:marTop w:val="0"/>
          <w:marBottom w:val="0"/>
          <w:divBdr>
            <w:top w:val="none" w:sz="0" w:space="0" w:color="auto"/>
            <w:left w:val="none" w:sz="0" w:space="0" w:color="auto"/>
            <w:bottom w:val="none" w:sz="0" w:space="0" w:color="auto"/>
            <w:right w:val="none" w:sz="0" w:space="0" w:color="auto"/>
          </w:divBdr>
        </w:div>
        <w:div w:id="1708331217">
          <w:marLeft w:val="0"/>
          <w:marRight w:val="0"/>
          <w:marTop w:val="0"/>
          <w:marBottom w:val="0"/>
          <w:divBdr>
            <w:top w:val="none" w:sz="0" w:space="0" w:color="auto"/>
            <w:left w:val="none" w:sz="0" w:space="0" w:color="auto"/>
            <w:bottom w:val="none" w:sz="0" w:space="0" w:color="auto"/>
            <w:right w:val="none" w:sz="0" w:space="0" w:color="auto"/>
          </w:divBdr>
        </w:div>
        <w:div w:id="1744913257">
          <w:marLeft w:val="0"/>
          <w:marRight w:val="0"/>
          <w:marTop w:val="0"/>
          <w:marBottom w:val="0"/>
          <w:divBdr>
            <w:top w:val="none" w:sz="0" w:space="0" w:color="auto"/>
            <w:left w:val="none" w:sz="0" w:space="0" w:color="auto"/>
            <w:bottom w:val="none" w:sz="0" w:space="0" w:color="auto"/>
            <w:right w:val="none" w:sz="0" w:space="0" w:color="auto"/>
          </w:divBdr>
        </w:div>
        <w:div w:id="1752848598">
          <w:marLeft w:val="0"/>
          <w:marRight w:val="0"/>
          <w:marTop w:val="0"/>
          <w:marBottom w:val="0"/>
          <w:divBdr>
            <w:top w:val="none" w:sz="0" w:space="0" w:color="auto"/>
            <w:left w:val="none" w:sz="0" w:space="0" w:color="auto"/>
            <w:bottom w:val="none" w:sz="0" w:space="0" w:color="auto"/>
            <w:right w:val="none" w:sz="0" w:space="0" w:color="auto"/>
          </w:divBdr>
        </w:div>
        <w:div w:id="1758478550">
          <w:marLeft w:val="0"/>
          <w:marRight w:val="0"/>
          <w:marTop w:val="0"/>
          <w:marBottom w:val="0"/>
          <w:divBdr>
            <w:top w:val="none" w:sz="0" w:space="0" w:color="auto"/>
            <w:left w:val="none" w:sz="0" w:space="0" w:color="auto"/>
            <w:bottom w:val="none" w:sz="0" w:space="0" w:color="auto"/>
            <w:right w:val="none" w:sz="0" w:space="0" w:color="auto"/>
          </w:divBdr>
        </w:div>
        <w:div w:id="1759592451">
          <w:marLeft w:val="0"/>
          <w:marRight w:val="0"/>
          <w:marTop w:val="0"/>
          <w:marBottom w:val="0"/>
          <w:divBdr>
            <w:top w:val="none" w:sz="0" w:space="0" w:color="auto"/>
            <w:left w:val="none" w:sz="0" w:space="0" w:color="auto"/>
            <w:bottom w:val="none" w:sz="0" w:space="0" w:color="auto"/>
            <w:right w:val="none" w:sz="0" w:space="0" w:color="auto"/>
          </w:divBdr>
        </w:div>
        <w:div w:id="1761025335">
          <w:marLeft w:val="0"/>
          <w:marRight w:val="0"/>
          <w:marTop w:val="0"/>
          <w:marBottom w:val="0"/>
          <w:divBdr>
            <w:top w:val="none" w:sz="0" w:space="0" w:color="auto"/>
            <w:left w:val="none" w:sz="0" w:space="0" w:color="auto"/>
            <w:bottom w:val="none" w:sz="0" w:space="0" w:color="auto"/>
            <w:right w:val="none" w:sz="0" w:space="0" w:color="auto"/>
          </w:divBdr>
        </w:div>
        <w:div w:id="1823961462">
          <w:marLeft w:val="0"/>
          <w:marRight w:val="0"/>
          <w:marTop w:val="0"/>
          <w:marBottom w:val="0"/>
          <w:divBdr>
            <w:top w:val="none" w:sz="0" w:space="0" w:color="auto"/>
            <w:left w:val="none" w:sz="0" w:space="0" w:color="auto"/>
            <w:bottom w:val="none" w:sz="0" w:space="0" w:color="auto"/>
            <w:right w:val="none" w:sz="0" w:space="0" w:color="auto"/>
          </w:divBdr>
        </w:div>
        <w:div w:id="1834680725">
          <w:marLeft w:val="0"/>
          <w:marRight w:val="0"/>
          <w:marTop w:val="0"/>
          <w:marBottom w:val="0"/>
          <w:divBdr>
            <w:top w:val="none" w:sz="0" w:space="0" w:color="auto"/>
            <w:left w:val="none" w:sz="0" w:space="0" w:color="auto"/>
            <w:bottom w:val="none" w:sz="0" w:space="0" w:color="auto"/>
            <w:right w:val="none" w:sz="0" w:space="0" w:color="auto"/>
          </w:divBdr>
        </w:div>
        <w:div w:id="1861966382">
          <w:marLeft w:val="0"/>
          <w:marRight w:val="0"/>
          <w:marTop w:val="0"/>
          <w:marBottom w:val="0"/>
          <w:divBdr>
            <w:top w:val="none" w:sz="0" w:space="0" w:color="auto"/>
            <w:left w:val="none" w:sz="0" w:space="0" w:color="auto"/>
            <w:bottom w:val="none" w:sz="0" w:space="0" w:color="auto"/>
            <w:right w:val="none" w:sz="0" w:space="0" w:color="auto"/>
          </w:divBdr>
        </w:div>
        <w:div w:id="1866404886">
          <w:marLeft w:val="0"/>
          <w:marRight w:val="0"/>
          <w:marTop w:val="0"/>
          <w:marBottom w:val="0"/>
          <w:divBdr>
            <w:top w:val="none" w:sz="0" w:space="0" w:color="auto"/>
            <w:left w:val="none" w:sz="0" w:space="0" w:color="auto"/>
            <w:bottom w:val="none" w:sz="0" w:space="0" w:color="auto"/>
            <w:right w:val="none" w:sz="0" w:space="0" w:color="auto"/>
          </w:divBdr>
        </w:div>
        <w:div w:id="1878425481">
          <w:marLeft w:val="0"/>
          <w:marRight w:val="0"/>
          <w:marTop w:val="0"/>
          <w:marBottom w:val="0"/>
          <w:divBdr>
            <w:top w:val="none" w:sz="0" w:space="0" w:color="auto"/>
            <w:left w:val="none" w:sz="0" w:space="0" w:color="auto"/>
            <w:bottom w:val="none" w:sz="0" w:space="0" w:color="auto"/>
            <w:right w:val="none" w:sz="0" w:space="0" w:color="auto"/>
          </w:divBdr>
        </w:div>
        <w:div w:id="1910535475">
          <w:marLeft w:val="0"/>
          <w:marRight w:val="0"/>
          <w:marTop w:val="0"/>
          <w:marBottom w:val="0"/>
          <w:divBdr>
            <w:top w:val="none" w:sz="0" w:space="0" w:color="auto"/>
            <w:left w:val="none" w:sz="0" w:space="0" w:color="auto"/>
            <w:bottom w:val="none" w:sz="0" w:space="0" w:color="auto"/>
            <w:right w:val="none" w:sz="0" w:space="0" w:color="auto"/>
          </w:divBdr>
        </w:div>
        <w:div w:id="1929995366">
          <w:marLeft w:val="0"/>
          <w:marRight w:val="0"/>
          <w:marTop w:val="0"/>
          <w:marBottom w:val="0"/>
          <w:divBdr>
            <w:top w:val="none" w:sz="0" w:space="0" w:color="auto"/>
            <w:left w:val="none" w:sz="0" w:space="0" w:color="auto"/>
            <w:bottom w:val="none" w:sz="0" w:space="0" w:color="auto"/>
            <w:right w:val="none" w:sz="0" w:space="0" w:color="auto"/>
          </w:divBdr>
        </w:div>
        <w:div w:id="1933783728">
          <w:marLeft w:val="0"/>
          <w:marRight w:val="0"/>
          <w:marTop w:val="0"/>
          <w:marBottom w:val="0"/>
          <w:divBdr>
            <w:top w:val="none" w:sz="0" w:space="0" w:color="auto"/>
            <w:left w:val="none" w:sz="0" w:space="0" w:color="auto"/>
            <w:bottom w:val="none" w:sz="0" w:space="0" w:color="auto"/>
            <w:right w:val="none" w:sz="0" w:space="0" w:color="auto"/>
          </w:divBdr>
        </w:div>
        <w:div w:id="1935019146">
          <w:marLeft w:val="0"/>
          <w:marRight w:val="0"/>
          <w:marTop w:val="0"/>
          <w:marBottom w:val="0"/>
          <w:divBdr>
            <w:top w:val="none" w:sz="0" w:space="0" w:color="auto"/>
            <w:left w:val="none" w:sz="0" w:space="0" w:color="auto"/>
            <w:bottom w:val="none" w:sz="0" w:space="0" w:color="auto"/>
            <w:right w:val="none" w:sz="0" w:space="0" w:color="auto"/>
          </w:divBdr>
        </w:div>
        <w:div w:id="1935244647">
          <w:marLeft w:val="0"/>
          <w:marRight w:val="0"/>
          <w:marTop w:val="0"/>
          <w:marBottom w:val="0"/>
          <w:divBdr>
            <w:top w:val="none" w:sz="0" w:space="0" w:color="auto"/>
            <w:left w:val="none" w:sz="0" w:space="0" w:color="auto"/>
            <w:bottom w:val="none" w:sz="0" w:space="0" w:color="auto"/>
            <w:right w:val="none" w:sz="0" w:space="0" w:color="auto"/>
          </w:divBdr>
        </w:div>
        <w:div w:id="1963923244">
          <w:marLeft w:val="0"/>
          <w:marRight w:val="0"/>
          <w:marTop w:val="0"/>
          <w:marBottom w:val="0"/>
          <w:divBdr>
            <w:top w:val="none" w:sz="0" w:space="0" w:color="auto"/>
            <w:left w:val="none" w:sz="0" w:space="0" w:color="auto"/>
            <w:bottom w:val="none" w:sz="0" w:space="0" w:color="auto"/>
            <w:right w:val="none" w:sz="0" w:space="0" w:color="auto"/>
          </w:divBdr>
        </w:div>
        <w:div w:id="1964535824">
          <w:marLeft w:val="0"/>
          <w:marRight w:val="0"/>
          <w:marTop w:val="0"/>
          <w:marBottom w:val="0"/>
          <w:divBdr>
            <w:top w:val="none" w:sz="0" w:space="0" w:color="auto"/>
            <w:left w:val="none" w:sz="0" w:space="0" w:color="auto"/>
            <w:bottom w:val="none" w:sz="0" w:space="0" w:color="auto"/>
            <w:right w:val="none" w:sz="0" w:space="0" w:color="auto"/>
          </w:divBdr>
        </w:div>
        <w:div w:id="1985112404">
          <w:marLeft w:val="0"/>
          <w:marRight w:val="0"/>
          <w:marTop w:val="0"/>
          <w:marBottom w:val="0"/>
          <w:divBdr>
            <w:top w:val="none" w:sz="0" w:space="0" w:color="auto"/>
            <w:left w:val="none" w:sz="0" w:space="0" w:color="auto"/>
            <w:bottom w:val="none" w:sz="0" w:space="0" w:color="auto"/>
            <w:right w:val="none" w:sz="0" w:space="0" w:color="auto"/>
          </w:divBdr>
        </w:div>
        <w:div w:id="2018189889">
          <w:marLeft w:val="0"/>
          <w:marRight w:val="0"/>
          <w:marTop w:val="0"/>
          <w:marBottom w:val="0"/>
          <w:divBdr>
            <w:top w:val="none" w:sz="0" w:space="0" w:color="auto"/>
            <w:left w:val="none" w:sz="0" w:space="0" w:color="auto"/>
            <w:bottom w:val="none" w:sz="0" w:space="0" w:color="auto"/>
            <w:right w:val="none" w:sz="0" w:space="0" w:color="auto"/>
          </w:divBdr>
        </w:div>
      </w:divsChild>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892156799">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95402448">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89080139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secretariasenado.gov.co/senado/basedoc/ley_0734_2002.html" TargetMode="External"/><Relationship Id="rId1" Type="http://schemas.openxmlformats.org/officeDocument/2006/relationships/hyperlink" Target="http://www.secretariasenado.gov.co/senado/basedoc/ley_0734_2002.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7593C261D5F478437B20C4612F84D" ma:contentTypeVersion="6" ma:contentTypeDescription="Crear nuevo documento." ma:contentTypeScope="" ma:versionID="9bf87645d05c355c36529ec18e496820">
  <xsd:schema xmlns:xsd="http://www.w3.org/2001/XMLSchema" xmlns:xs="http://www.w3.org/2001/XMLSchema" xmlns:p="http://schemas.microsoft.com/office/2006/metadata/properties" xmlns:ns2="665fb17a-4452-4a66-a3e9-046d792f3e87" xmlns:ns3="681aa84b-9e87-48a5-9323-d678105c5307" targetNamespace="http://schemas.microsoft.com/office/2006/metadata/properties" ma:root="true" ma:fieldsID="926ae549366ae5e27816e42736d1333a" ns2:_="" ns3:_="">
    <xsd:import namespace="665fb17a-4452-4a66-a3e9-046d792f3e87"/>
    <xsd:import namespace="681aa84b-9e87-48a5-9323-d678105c53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fb17a-4452-4a66-a3e9-046d792f3e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84b-9e87-48a5-9323-d678105c530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DFE08-BC52-4FEA-AEB7-FA250533BF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AFC710-1A6E-4EBC-8A31-EC0A63C9F84B}">
  <ds:schemaRefs>
    <ds:schemaRef ds:uri="http://schemas.microsoft.com/sharepoint/v3/contenttype/forms"/>
  </ds:schemaRefs>
</ds:datastoreItem>
</file>

<file path=customXml/itemProps3.xml><?xml version="1.0" encoding="utf-8"?>
<ds:datastoreItem xmlns:ds="http://schemas.openxmlformats.org/officeDocument/2006/customXml" ds:itemID="{C4F0D201-88DD-40A3-98B9-983313D83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5fb17a-4452-4a66-a3e9-046d792f3e87"/>
    <ds:schemaRef ds:uri="681aa84b-9e87-48a5-9323-d678105c5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2A94B-4EC8-4524-911B-E4CA0299F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5104</Words>
  <Characters>28076</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33114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Ingrid Marela Lopez Bonilla</cp:lastModifiedBy>
  <cp:revision>2</cp:revision>
  <cp:lastPrinted>2019-07-09T02:30:00Z</cp:lastPrinted>
  <dcterms:created xsi:type="dcterms:W3CDTF">2026-06-08T16:47:00Z</dcterms:created>
  <dcterms:modified xsi:type="dcterms:W3CDTF">2026-06-08T16:47:00Z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0x0101006577593C261D5F478437B20C4612F84D</vt:lpwstr>
  </property>
  <property fmtid="{D5CDD505-2E9C-101B-9397-08002B2CF9AE}" pid="3" name="MSIP_Label_821ec8a6-bbee-4b40-bdc1-9f8ab4bf789f_Enabled">
    <vt:lpwstr>true</vt:lpwstr>
  </property>
  <property fmtid="{D5CDD505-2E9C-101B-9397-08002B2CF9AE}" pid="4" name="MSIP_Label_821ec8a6-bbee-4b40-bdc1-9f8ab4bf789f_SetDate">
    <vt:lpwstr>2026-03-26T16:39:04Z</vt:lpwstr>
  </property>
  <property fmtid="{D5CDD505-2E9C-101B-9397-08002B2CF9AE}" pid="5" name="MSIP_Label_821ec8a6-bbee-4b40-bdc1-9f8ab4bf789f_Method">
    <vt:lpwstr>Standard</vt:lpwstr>
  </property>
  <property fmtid="{D5CDD505-2E9C-101B-9397-08002B2CF9AE}" pid="6" name="MSIP_Label_821ec8a6-bbee-4b40-bdc1-9f8ab4bf789f_Name">
    <vt:lpwstr>Verde - Público</vt:lpwstr>
  </property>
  <property fmtid="{D5CDD505-2E9C-101B-9397-08002B2CF9AE}" pid="7" name="MSIP_Label_821ec8a6-bbee-4b40-bdc1-9f8ab4bf789f_SiteId">
    <vt:lpwstr>9b1ecfaa-c675-42ee-b297-0eaeb51bcc4c</vt:lpwstr>
  </property>
  <property fmtid="{D5CDD505-2E9C-101B-9397-08002B2CF9AE}" pid="8" name="MSIP_Label_821ec8a6-bbee-4b40-bdc1-9f8ab4bf789f_ActionId">
    <vt:lpwstr>39601727-25bf-4e7c-89bf-bb12f99b4552</vt:lpwstr>
  </property>
  <property fmtid="{D5CDD505-2E9C-101B-9397-08002B2CF9AE}" pid="9" name="MSIP_Label_821ec8a6-bbee-4b40-bdc1-9f8ab4bf789f_ContentBits">
    <vt:lpwstr>0</vt:lpwstr>
  </property>
  <property fmtid="{D5CDD505-2E9C-101B-9397-08002B2CF9AE}" pid="10" name="MSIP_Label_821ec8a6-bbee-4b40-bdc1-9f8ab4bf789f_Tag">
    <vt:lpwstr>10, 3, 0, 1</vt:lpwstr>
  </property>
</Properties>
</file>